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淄博市公安局</w:t>
      </w:r>
    </w:p>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2024年政府信息公开工作年度报告</w:t>
      </w:r>
    </w:p>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p>
    <w:p>
      <w:pPr>
        <w:widowControl/>
        <w:shd w:val="clear" w:color="auto" w:fill="FFFFFF"/>
        <w:spacing w:line="560" w:lineRule="exact"/>
        <w:ind w:firstLine="640" w:firstLineChars="200"/>
        <w:rPr>
          <w:rFonts w:ascii="仿宋_GB2312" w:hAnsi="微软雅黑" w:eastAsia="仿宋_GB2312" w:cs="宋体"/>
          <w:color w:val="000000"/>
          <w:kern w:val="0"/>
          <w:sz w:val="32"/>
          <w:szCs w:val="32"/>
        </w:rPr>
      </w:pPr>
      <w:r>
        <w:rPr>
          <w:rFonts w:ascii="仿宋_GB2312" w:hAnsi="宋体" w:eastAsia="仿宋_GB2312" w:cs="仿宋_GB2312"/>
          <w:color w:val="000000"/>
          <w:sz w:val="32"/>
          <w:szCs w:val="32"/>
          <w:shd w:val="clear" w:color="auto" w:fill="FFFFFF"/>
        </w:rPr>
        <w:t>本报告根据《中华人民共和国政府信息公开条例》及《中华人民共和国政府信息公开工作年度报告格式》编制。</w:t>
      </w:r>
      <w:r>
        <w:rPr>
          <w:rFonts w:hint="eastAsia" w:ascii="仿宋_GB2312" w:hAnsi="仿宋_GB2312" w:eastAsia="仿宋_GB2312" w:cs="仿宋_GB2312"/>
          <w:color w:val="000000"/>
          <w:sz w:val="32"/>
          <w:szCs w:val="32"/>
        </w:rPr>
        <w:t>报告中所列数据的统计期限自2024年1月1日起，至2024年12月31日止。如对报告内容有疑问，</w:t>
      </w:r>
      <w:r>
        <w:rPr>
          <w:rFonts w:hint="eastAsia" w:ascii="仿宋_GB2312" w:hAnsi="微软雅黑" w:eastAsia="仿宋_GB2312" w:cs="宋体"/>
          <w:color w:val="000000"/>
          <w:kern w:val="0"/>
          <w:sz w:val="32"/>
          <w:szCs w:val="32"/>
        </w:rPr>
        <w:t>请与淄博市公安局政府信息公开工作办公室联系（地址：张店区联通路318号；邮编：255095；联系电话：0533-2134139；电子信箱：</w:t>
      </w:r>
      <w:r>
        <w:fldChar w:fldCharType="begin"/>
      </w:r>
      <w:r>
        <w:instrText xml:space="preserve"> HYPERLINK "mailto:zbgaxxgk@zb.shandong.cn。" </w:instrText>
      </w:r>
      <w:r>
        <w:fldChar w:fldCharType="separate"/>
      </w:r>
      <w:r>
        <w:rPr>
          <w:rStyle w:val="8"/>
          <w:rFonts w:hint="eastAsia" w:ascii="仿宋_GB2312" w:hAnsi="微软雅黑" w:eastAsia="仿宋_GB2312" w:cs="宋体"/>
          <w:color w:val="000000"/>
          <w:kern w:val="0"/>
          <w:sz w:val="32"/>
          <w:szCs w:val="32"/>
        </w:rPr>
        <w:t>zbgaxxgk@zb.shandong.cn。</w:t>
      </w:r>
      <w:r>
        <w:rPr>
          <w:rStyle w:val="8"/>
          <w:rFonts w:hint="eastAsia" w:ascii="仿宋_GB2312" w:hAnsi="微软雅黑" w:eastAsia="仿宋_GB2312" w:cs="宋体"/>
          <w:color w:val="000000"/>
          <w:kern w:val="0"/>
          <w:sz w:val="32"/>
          <w:szCs w:val="32"/>
        </w:rPr>
        <w:fldChar w:fldCharType="end"/>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color w:val="000000"/>
          <w:kern w:val="0"/>
          <w:sz w:val="32"/>
          <w:szCs w:val="32"/>
        </w:rPr>
        <w:t>一、总体情况</w:t>
      </w:r>
    </w:p>
    <w:p>
      <w:pPr>
        <w:widowControl/>
        <w:shd w:val="clear" w:color="auto" w:fill="FFFFFF"/>
        <w:spacing w:line="560" w:lineRule="exact"/>
        <w:ind w:firstLine="640" w:firstLineChars="200"/>
        <w:jc w:val="left"/>
        <w:rPr>
          <w:rFonts w:ascii="仿宋_GB2312" w:hAnsi="微软雅黑" w:eastAsia="仿宋_GB2312" w:cs="宋体"/>
          <w:color w:val="000000"/>
          <w:kern w:val="0"/>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淄博市公安局坚持以习近平新时代中国特色社会主义思想为指导，</w:t>
      </w:r>
      <w:r>
        <w:rPr>
          <w:rFonts w:ascii="Times New Roman" w:hAnsi="Times New Roman" w:eastAsia="仿宋_GB2312" w:cs="Times New Roman"/>
          <w:sz w:val="32"/>
          <w:szCs w:val="32"/>
        </w:rPr>
        <w:t>全面贯彻落实</w:t>
      </w:r>
      <w:bookmarkStart w:id="0" w:name="OLE_LINK2"/>
      <w:bookmarkStart w:id="1" w:name="OLE_LINK1"/>
      <w:r>
        <w:rPr>
          <w:rFonts w:ascii="Times New Roman" w:hAnsi="Times New Roman" w:eastAsia="仿宋_GB2312" w:cs="Times New Roman"/>
          <w:sz w:val="32"/>
          <w:szCs w:val="32"/>
        </w:rPr>
        <w:t>党的二十大</w:t>
      </w:r>
      <w:bookmarkEnd w:id="0"/>
      <w:bookmarkEnd w:id="1"/>
      <w:r>
        <w:rPr>
          <w:rFonts w:ascii="Times New Roman" w:hAnsi="Times New Roman" w:eastAsia="仿宋_GB2312" w:cs="Times New Roman"/>
          <w:sz w:val="32"/>
          <w:szCs w:val="32"/>
        </w:rPr>
        <w:t>精神，坚持</w:t>
      </w:r>
      <w:r>
        <w:rPr>
          <w:rFonts w:hint="eastAsia" w:ascii="Times New Roman" w:hAnsi="Times New Roman" w:eastAsia="仿宋_GB2312" w:cs="Times New Roman"/>
          <w:sz w:val="32"/>
          <w:szCs w:val="32"/>
        </w:rPr>
        <w:t>市委、市政府中心工作和公安领域重点工作</w:t>
      </w:r>
      <w:r>
        <w:rPr>
          <w:rFonts w:ascii="Times New Roman" w:hAnsi="Times New Roman" w:eastAsia="仿宋_GB2312" w:cs="Times New Roman"/>
          <w:sz w:val="32"/>
          <w:szCs w:val="32"/>
        </w:rPr>
        <w:t>，持续提升政务公开标准化、规范化和信息化水平，</w:t>
      </w:r>
      <w:r>
        <w:rPr>
          <w:rFonts w:hint="eastAsia" w:ascii="Times New Roman" w:hAnsi="Times New Roman" w:eastAsia="仿宋_GB2312" w:cs="Times New Roman"/>
          <w:sz w:val="32"/>
          <w:szCs w:val="32"/>
        </w:rPr>
        <w:t>切实发挥以公开促落实、优服务、强监管作用，</w:t>
      </w:r>
      <w:r>
        <w:rPr>
          <w:rFonts w:hint="eastAsia" w:ascii="仿宋_GB2312" w:hAnsi="仿宋_GB2312" w:eastAsia="仿宋_GB2312" w:cs="仿宋_GB2312"/>
          <w:color w:val="000000"/>
          <w:sz w:val="32"/>
          <w:szCs w:val="32"/>
        </w:rPr>
        <w:t>扎实推进政府信息公开工作</w:t>
      </w:r>
      <w:r>
        <w:rPr>
          <w:rFonts w:hint="eastAsia" w:ascii="Times New Roman" w:hAnsi="Times New Roman" w:eastAsia="仿宋_GB2312" w:cs="Times New Roman"/>
          <w:sz w:val="32"/>
          <w:szCs w:val="32"/>
        </w:rPr>
        <w:t>。</w:t>
      </w:r>
    </w:p>
    <w:p>
      <w:pPr>
        <w:pStyle w:val="5"/>
        <w:widowControl/>
        <w:shd w:val="clear" w:color="auto" w:fill="FFFFFF"/>
        <w:spacing w:before="0" w:beforeAutospacing="0" w:after="0" w:afterAutospacing="0" w:line="600" w:lineRule="exact"/>
        <w:ind w:firstLine="640" w:firstLineChars="200"/>
        <w:rPr>
          <w:rFonts w:ascii="仿宋_GB2312" w:hAnsi="仿宋_GB2312" w:eastAsia="仿宋_GB2312" w:cs="仿宋_GB2312"/>
          <w:color w:val="FF0000"/>
          <w:sz w:val="32"/>
          <w:szCs w:val="32"/>
        </w:rPr>
      </w:pPr>
      <w:r>
        <w:rPr>
          <w:rFonts w:hint="eastAsia" w:ascii="楷体" w:hAnsi="楷体" w:eastAsia="楷体" w:cs="楷体"/>
          <w:sz w:val="32"/>
          <w:szCs w:val="32"/>
        </w:rPr>
        <w:t>（一）规范做好主动信息公开工作。</w:t>
      </w:r>
      <w:r>
        <w:rPr>
          <w:rFonts w:hint="eastAsia" w:ascii="仿宋_GB2312" w:hAnsi="仿宋_GB2312" w:eastAsia="仿宋_GB2312" w:cs="仿宋_GB2312"/>
          <w:sz w:val="32"/>
          <w:szCs w:val="32"/>
        </w:rPr>
        <w:t>2024年市公安局通过淄博市人民政府网站信息公开栏目发布各类公开信息137条，其中文稿解读1件，图片解读1件，新闻发布会解读1件，局长办公会4次，会议图片解读4次。淄博市公安局门户网站（淄博市网上公安民生警务平台）发布各类信息551条。</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（二）</w:t>
      </w:r>
      <w:r>
        <w:rPr>
          <w:rFonts w:hint="eastAsia" w:ascii="楷体" w:hAnsi="楷体" w:eastAsia="楷体" w:cs="楷体"/>
          <w:color w:val="000000"/>
          <w:sz w:val="32"/>
          <w:szCs w:val="32"/>
          <w:shd w:val="clear" w:color="auto" w:fill="FFFFFF"/>
        </w:rPr>
        <w:t>高效规范办理依申请公开。</w:t>
      </w:r>
      <w:r>
        <w:rPr>
          <w:rFonts w:hint="eastAsia" w:ascii="仿宋_GB2312" w:hAnsi="仿宋_GB2312" w:eastAsia="仿宋_GB2312" w:cs="仿宋_GB2312"/>
          <w:kern w:val="0"/>
          <w:sz w:val="32"/>
          <w:szCs w:val="32"/>
        </w:rPr>
        <w:t>2024年，淄博市公安局通过邮寄、电子邮件、政务公开平台共受理政府信息公开申请72件，同比增长53%，全部为自然人申请。2024年，共出具政府信息公开申请答复74件（含上年结转6件），其中同意公开12件，部分公开8件，不予公开2件，本机关不掌握相关政府信息无法提供50件，其他2件；结转下年度办理4件。2024年，因政府信息依申请公开提起行政复议1起，结果维持。</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shd w:val="clear" w:color="auto" w:fill="FFFFFF"/>
        </w:rPr>
        <w:t>（三）持续提升</w:t>
      </w:r>
      <w:r>
        <w:rPr>
          <w:rFonts w:ascii="楷体" w:hAnsi="楷体" w:eastAsia="楷体" w:cs="楷体"/>
          <w:color w:val="000000"/>
          <w:sz w:val="32"/>
          <w:szCs w:val="32"/>
          <w:shd w:val="clear" w:color="auto" w:fill="FFFFFF"/>
        </w:rPr>
        <w:t>政府信息管理工作</w:t>
      </w:r>
      <w:r>
        <w:rPr>
          <w:rFonts w:hint="eastAsia" w:ascii="楷体" w:hAnsi="楷体" w:eastAsia="楷体" w:cs="楷体"/>
          <w:color w:val="000000"/>
          <w:sz w:val="32"/>
          <w:szCs w:val="32"/>
          <w:shd w:val="clear" w:color="auto" w:fill="FFFFFF"/>
        </w:rPr>
        <w:t>。</w:t>
      </w:r>
      <w:r>
        <w:rPr>
          <w:rFonts w:hint="eastAsia" w:ascii="仿宋_GB2312" w:hAnsi="仿宋_GB2312" w:eastAsia="仿宋_GB2312" w:cs="仿宋_GB2312"/>
          <w:kern w:val="0"/>
          <w:sz w:val="32"/>
          <w:szCs w:val="32"/>
        </w:rPr>
        <w:t>一是在主动公开目录建设方面，召开政府信息公开工作研讨会，就公安领域政府信息公开工作进行交流研讨，确定工作思路，推动各职能单位编制本业务领域主动公开事项目录，高质量完成《淄博市公安局</w:t>
      </w:r>
      <w:bookmarkStart w:id="2" w:name="OLE_LINK4"/>
      <w:bookmarkStart w:id="3" w:name="OLE_LINK3"/>
      <w:r>
        <w:rPr>
          <w:rFonts w:hint="eastAsia" w:ascii="仿宋_GB2312" w:hAnsi="仿宋_GB2312" w:eastAsia="仿宋_GB2312" w:cs="仿宋_GB2312"/>
          <w:kern w:val="0"/>
          <w:sz w:val="32"/>
          <w:szCs w:val="32"/>
        </w:rPr>
        <w:t>主动公开事项目录</w:t>
      </w:r>
      <w:bookmarkEnd w:id="2"/>
      <w:bookmarkEnd w:id="3"/>
      <w:r>
        <w:rPr>
          <w:rFonts w:hint="eastAsia" w:ascii="仿宋_GB2312" w:hAnsi="仿宋_GB2312" w:eastAsia="仿宋_GB2312" w:cs="仿宋_GB2312"/>
          <w:kern w:val="0"/>
          <w:sz w:val="32"/>
          <w:szCs w:val="32"/>
        </w:rPr>
        <w:t>》编制工作。二是在</w:t>
      </w:r>
      <w:r>
        <w:rPr>
          <w:rFonts w:hint="eastAsia" w:ascii="仿宋_GB2312" w:hAnsi="仿宋_GB2312" w:eastAsia="仿宋_GB2312" w:cs="仿宋_GB2312"/>
          <w:sz w:val="32"/>
          <w:szCs w:val="32"/>
        </w:rPr>
        <w:t>政府信息公开保密审查制度方面，严格按照《淄博市公安局政府信息公开保密审查办法》“谁公开谁审查、谁审查谁负责”和“先审查后公开”的原则，建立信息发布保密审核工作台账，严格按照工作流程逐级把关签字、存档备查。</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shd w:val="clear" w:color="auto" w:fill="FFFFFF"/>
        </w:rPr>
        <w:t>（四）不断优化平台建设。</w:t>
      </w:r>
      <w:r>
        <w:rPr>
          <w:rFonts w:hint="eastAsia" w:ascii="仿宋_GB2312" w:hAnsi="仿宋_GB2312" w:eastAsia="仿宋_GB2312" w:cs="仿宋_GB2312"/>
          <w:sz w:val="32"/>
          <w:szCs w:val="32"/>
        </w:rPr>
        <w:t>加强网站建设，结合工作实际持续完善调整优化市公安局门户网站和公开平台栏目设置，</w:t>
      </w:r>
      <w:r>
        <w:rPr>
          <w:rFonts w:ascii="仿宋_GB2312" w:hAnsi="宋体" w:eastAsia="仿宋_GB2312" w:cs="仿宋_GB2312"/>
          <w:color w:val="000000"/>
          <w:sz w:val="32"/>
          <w:szCs w:val="32"/>
          <w:shd w:val="clear" w:color="auto" w:fill="FFFFFF"/>
        </w:rPr>
        <w:t>打造政府信息公开第一渠道</w:t>
      </w:r>
      <w:r>
        <w:rPr>
          <w:rFonts w:hint="eastAsia" w:ascii="仿宋_GB2312" w:hAnsi="宋体" w:eastAsia="仿宋_GB2312" w:cs="仿宋_GB2312"/>
          <w:color w:val="000000"/>
          <w:sz w:val="32"/>
          <w:szCs w:val="32"/>
          <w:shd w:val="clear" w:color="auto" w:fill="FFFFFF"/>
        </w:rPr>
        <w:t>。</w:t>
      </w:r>
      <w:r>
        <w:rPr>
          <w:rFonts w:hint="eastAsia" w:ascii="仿宋_GB2312" w:hAnsi="仿宋_GB2312" w:eastAsia="仿宋_GB2312" w:cs="仿宋_GB2312"/>
          <w:sz w:val="32"/>
          <w:szCs w:val="32"/>
        </w:rPr>
        <w:t>同时利用政务新媒体、民生警务平台等交流平台来扩展政务公开覆盖面，多渠道对信息公开工作进行提升。聚力淄博公安微信公众号、淄博警方微博账号、淄博警方抖音视频号等新媒体平台建设，打造政务公开新阵地</w:t>
      </w:r>
      <w:bookmarkStart w:id="4" w:name="OLE_LINK5"/>
      <w:r>
        <w:rPr>
          <w:rFonts w:hint="eastAsia" w:ascii="仿宋_GB2312" w:hAnsi="仿宋_GB2312" w:eastAsia="仿宋_GB2312" w:cs="仿宋_GB2312"/>
          <w:sz w:val="32"/>
          <w:szCs w:val="32"/>
        </w:rPr>
        <w:t>。其中，淄博公安</w:t>
      </w:r>
      <w:bookmarkEnd w:id="4"/>
      <w:r>
        <w:rPr>
          <w:rFonts w:hint="eastAsia" w:ascii="仿宋_GB2312" w:hAnsi="仿宋_GB2312" w:eastAsia="仿宋_GB2312" w:cs="仿宋_GB2312"/>
          <w:sz w:val="32"/>
          <w:szCs w:val="32"/>
        </w:rPr>
        <w:t>微信公众号关注人数54万余人；</w:t>
      </w:r>
      <w:bookmarkStart w:id="5" w:name="OLE_LINK7"/>
      <w:bookmarkStart w:id="6" w:name="OLE_LINK6"/>
      <w:r>
        <w:rPr>
          <w:rFonts w:hint="eastAsia" w:ascii="仿宋_GB2312" w:hAnsi="仿宋_GB2312" w:eastAsia="仿宋_GB2312" w:cs="仿宋_GB2312"/>
          <w:sz w:val="32"/>
          <w:szCs w:val="32"/>
        </w:rPr>
        <w:t>淄博警方</w:t>
      </w:r>
      <w:bookmarkEnd w:id="5"/>
      <w:bookmarkEnd w:id="6"/>
      <w:r>
        <w:rPr>
          <w:rFonts w:hint="eastAsia" w:ascii="仿宋_GB2312" w:hAnsi="仿宋_GB2312" w:eastAsia="仿宋_GB2312" w:cs="仿宋_GB2312"/>
          <w:sz w:val="32"/>
          <w:szCs w:val="32"/>
        </w:rPr>
        <w:t>微博账号关注人数90万余人，转发评论168万余条；淄博警方抖音视频号粉丝149万余人，获赞数2200万余条。</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color w:val="000000"/>
          <w:sz w:val="32"/>
          <w:szCs w:val="32"/>
          <w:shd w:val="clear" w:color="auto" w:fill="FFFFFF"/>
        </w:rPr>
        <w:t>（五）监督保障全面有力。</w:t>
      </w:r>
      <w:r>
        <w:rPr>
          <w:rFonts w:hint="eastAsia" w:ascii="仿宋_GB2312" w:hAnsi="仿宋_GB2312" w:eastAsia="仿宋_GB2312" w:cs="仿宋_GB2312"/>
          <w:sz w:val="32"/>
          <w:szCs w:val="32"/>
        </w:rPr>
        <w:t>一是加强队伍建设。根据工作调整和人员变动及时调整领导小组，确保政务公开工作“有人管、有人抓、有人干”。二是经常性开展政务信息公开工作交流研讨活动，</w:t>
      </w:r>
      <w:r>
        <w:rPr>
          <w:rFonts w:ascii="仿宋_GB2312" w:hAnsi="宋体" w:eastAsia="仿宋_GB2312" w:cs="仿宋_GB2312"/>
          <w:color w:val="000000"/>
          <w:sz w:val="32"/>
          <w:szCs w:val="32"/>
          <w:shd w:val="clear" w:color="auto" w:fill="FFFFFF"/>
        </w:rPr>
        <w:t>推动落实</w:t>
      </w:r>
      <w:r>
        <w:rPr>
          <w:rFonts w:hint="eastAsia" w:ascii="仿宋_GB2312" w:hAnsi="宋体" w:eastAsia="仿宋_GB2312" w:cs="仿宋_GB2312"/>
          <w:color w:val="000000"/>
          <w:sz w:val="32"/>
          <w:szCs w:val="32"/>
          <w:shd w:val="clear" w:color="auto" w:fill="FFFFFF"/>
        </w:rPr>
        <w:t>各单位</w:t>
      </w:r>
      <w:r>
        <w:rPr>
          <w:rFonts w:ascii="仿宋_GB2312" w:hAnsi="宋体" w:eastAsia="仿宋_GB2312" w:cs="仿宋_GB2312"/>
          <w:color w:val="000000"/>
          <w:sz w:val="32"/>
          <w:szCs w:val="32"/>
          <w:shd w:val="clear" w:color="auto" w:fill="FFFFFF"/>
        </w:rPr>
        <w:t>职责范围内的信息公开工作</w:t>
      </w:r>
      <w:r>
        <w:rPr>
          <w:rFonts w:hint="eastAsia" w:ascii="仿宋_GB2312" w:hAnsi="宋体" w:eastAsia="仿宋_GB2312" w:cs="仿宋_GB2312"/>
          <w:color w:val="000000"/>
          <w:sz w:val="32"/>
          <w:szCs w:val="32"/>
          <w:shd w:val="clear" w:color="auto" w:fill="FFFFFF"/>
        </w:rPr>
        <w:t>，</w:t>
      </w:r>
      <w:r>
        <w:rPr>
          <w:rFonts w:hint="eastAsia" w:ascii="仿宋_GB2312" w:hAnsi="仿宋_GB2312" w:eastAsia="仿宋_GB2312" w:cs="仿宋_GB2312"/>
          <w:sz w:val="32"/>
          <w:szCs w:val="32"/>
        </w:rPr>
        <w:t>不断提升政务公开队伍专业化水平。</w:t>
      </w:r>
    </w:p>
    <w:p>
      <w:pPr>
        <w:pStyle w:val="5"/>
        <w:widowControl/>
        <w:shd w:val="clear" w:color="auto" w:fill="FFFFFF"/>
        <w:spacing w:before="0" w:beforeAutospacing="0" w:after="0" w:afterAutospacing="0"/>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Calibri" w:eastAsia="仿宋_GB2312" w:cs="Calibri"/>
                <w:color w:val="000000" w:themeColor="text1"/>
                <w:kern w:val="0"/>
                <w:szCs w:val="21"/>
              </w:rPr>
            </w:pPr>
            <w:r>
              <w:rPr>
                <w:rFonts w:hint="eastAsia" w:ascii="仿宋_GB2312" w:hAnsi="宋体" w:eastAsia="仿宋_GB2312" w:cs="宋体"/>
                <w:color w:val="000000" w:themeColor="text1"/>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Cs w:val="21"/>
              </w:rPr>
            </w:pPr>
            <w:r>
              <w:rPr>
                <w:rFonts w:hint="eastAsia" w:ascii="仿宋_GB2312" w:hAnsi="宋体" w:eastAsia="仿宋_GB2312" w:cs="宋体"/>
                <w:color w:val="000000" w:themeColor="text1"/>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2302002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23446</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55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9574.49</w:t>
            </w:r>
          </w:p>
        </w:tc>
      </w:tr>
    </w:tbl>
    <w:p>
      <w:pPr>
        <w:rPr>
          <w:rFonts w:ascii="黑体" w:hAnsi="黑体" w:eastAsia="黑体" w:cs="黑体"/>
          <w:bCs/>
          <w:color w:val="333333"/>
          <w:kern w:val="0"/>
          <w:sz w:val="32"/>
          <w:szCs w:val="32"/>
          <w:shd w:val="clear" w:color="auto" w:fill="FFFFFF"/>
        </w:rPr>
      </w:pPr>
    </w:p>
    <w:p>
      <w:pPr>
        <w:numPr>
          <w:ilvl w:val="0"/>
          <w:numId w:val="1"/>
        </w:numPr>
        <w:ind w:firstLine="640" w:firstLineChars="200"/>
        <w:rPr>
          <w:rFonts w:ascii="黑体" w:hAnsi="黑体" w:eastAsia="黑体" w:cs="黑体"/>
          <w:bCs/>
          <w:color w:val="333333"/>
          <w:kern w:val="0"/>
          <w:sz w:val="32"/>
          <w:szCs w:val="32"/>
          <w:shd w:val="clear" w:color="auto" w:fill="FFFFFF"/>
        </w:rPr>
      </w:pPr>
      <w:r>
        <w:rPr>
          <w:rFonts w:hint="eastAsia" w:ascii="黑体" w:hAnsi="黑体" w:eastAsia="黑体" w:cs="黑体"/>
          <w:bCs/>
          <w:color w:val="333333"/>
          <w:kern w:val="0"/>
          <w:sz w:val="32"/>
          <w:szCs w:val="32"/>
          <w:shd w:val="clear" w:color="auto" w:fill="FFFFFF"/>
        </w:rPr>
        <w:t>收到和处理政府信息公开申请情况</w:t>
      </w:r>
    </w:p>
    <w:tbl>
      <w:tblPr>
        <w:tblStyle w:val="6"/>
        <w:tblW w:w="9858" w:type="dxa"/>
        <w:jc w:val="center"/>
        <w:tblLayout w:type="autofit"/>
        <w:tblCellMar>
          <w:top w:w="0" w:type="dxa"/>
          <w:left w:w="0" w:type="dxa"/>
          <w:bottom w:w="0" w:type="dxa"/>
          <w:right w:w="0" w:type="dxa"/>
        </w:tblCellMar>
      </w:tblPr>
      <w:tblGrid>
        <w:gridCol w:w="745"/>
        <w:gridCol w:w="1612"/>
        <w:gridCol w:w="2627"/>
        <w:gridCol w:w="624"/>
        <w:gridCol w:w="709"/>
        <w:gridCol w:w="709"/>
        <w:gridCol w:w="708"/>
        <w:gridCol w:w="709"/>
        <w:gridCol w:w="733"/>
        <w:gridCol w:w="682"/>
      </w:tblGrid>
      <w:tr>
        <w:tblPrEx>
          <w:tblCellMar>
            <w:top w:w="0" w:type="dxa"/>
            <w:left w:w="0" w:type="dxa"/>
            <w:bottom w:w="0" w:type="dxa"/>
            <w:right w:w="0" w:type="dxa"/>
          </w:tblCellMar>
        </w:tblPrEx>
        <w:trPr>
          <w:trHeight w:val="448" w:hRule="atLeast"/>
          <w:jc w:val="center"/>
        </w:trPr>
        <w:tc>
          <w:tcPr>
            <w:tcW w:w="498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（本列数据的勾稽关系为：第一项加第二项之和，等于第三项加第四项之和）</w:t>
            </w:r>
          </w:p>
        </w:tc>
        <w:tc>
          <w:tcPr>
            <w:tcW w:w="487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申请人情况</w:t>
            </w:r>
          </w:p>
        </w:tc>
      </w:tr>
      <w:tr>
        <w:tblPrEx>
          <w:tblCellMar>
            <w:top w:w="0" w:type="dxa"/>
            <w:left w:w="0" w:type="dxa"/>
            <w:bottom w:w="0" w:type="dxa"/>
            <w:right w:w="0" w:type="dxa"/>
          </w:tblCellMar>
        </w:tblPrEx>
        <w:trPr>
          <w:trHeight w:val="531"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自然人</w:t>
            </w:r>
          </w:p>
        </w:tc>
        <w:tc>
          <w:tcPr>
            <w:tcW w:w="35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法人或其他组织</w:t>
            </w:r>
          </w:p>
        </w:tc>
        <w:tc>
          <w:tcPr>
            <w:tcW w:w="6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1127"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商业企业</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科研机构</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社会公益组织</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法律服务机构</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其他</w:t>
            </w:r>
          </w:p>
        </w:tc>
        <w:tc>
          <w:tcPr>
            <w:tcW w:w="68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4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一、本年新收政府信息公开申请数量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r>
      <w:tr>
        <w:tblPrEx>
          <w:tblCellMar>
            <w:top w:w="0" w:type="dxa"/>
            <w:left w:w="0" w:type="dxa"/>
            <w:bottom w:w="0" w:type="dxa"/>
            <w:right w:w="0" w:type="dxa"/>
          </w:tblCellMar>
        </w:tblPrEx>
        <w:trPr>
          <w:trHeight w:val="39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二、上年结转政府信息公开申请数量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r>
      <w:tr>
        <w:tblPrEx>
          <w:tblCellMar>
            <w:top w:w="0" w:type="dxa"/>
            <w:left w:w="0" w:type="dxa"/>
            <w:bottom w:w="0" w:type="dxa"/>
            <w:right w:w="0" w:type="dxa"/>
          </w:tblCellMar>
        </w:tblPrEx>
        <w:trPr>
          <w:trHeight w:val="418" w:hRule="atLeast"/>
          <w:jc w:val="center"/>
        </w:trPr>
        <w:tc>
          <w:tcPr>
            <w:tcW w:w="74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三、本年度办理结果</w:t>
            </w: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（一）予以公开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（二）部分公开（区分处理的，只计这一情形，不计其他情形）</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r>
      <w:tr>
        <w:tblPrEx>
          <w:tblCellMar>
            <w:top w:w="0" w:type="dxa"/>
            <w:left w:w="0" w:type="dxa"/>
            <w:bottom w:w="0" w:type="dxa"/>
            <w:right w:w="0" w:type="dxa"/>
          </w:tblCellMar>
        </w:tblPrEx>
        <w:trPr>
          <w:trHeight w:val="490"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（三）不予公开</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1．属于国家秘密</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2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2．其他法律行政法规禁止公开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3．危及“三安全一稳定”</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97"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4．保护第三方合法权益</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5．属于三类内部事务信息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0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6．属于四类过程性信息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5"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7．属于行政执法案卷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21"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8．属于行政查询事项</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2"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（四）无法提供</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1．本机关不掌握相关政府信息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r>
      <w:tr>
        <w:tblPrEx>
          <w:tblCellMar>
            <w:top w:w="0" w:type="dxa"/>
            <w:left w:w="0" w:type="dxa"/>
            <w:bottom w:w="0" w:type="dxa"/>
            <w:right w:w="0" w:type="dxa"/>
          </w:tblCellMar>
        </w:tblPrEx>
        <w:trPr>
          <w:trHeight w:val="418"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2．没有现成信息需要另行制作</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3．补正后申请内容仍不明确</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7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（五）不予处理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1．信访举报投诉类申请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8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3．要求提供公开出版物</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4．无正当理由大量反复申请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ind w:left="180" w:hanging="180"/>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5．要求行政机关确认或重新出具已获取信息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restart"/>
            <w:tcBorders>
              <w:top w:val="nil"/>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（六）其他处理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1.申请人无正当理由逾期不补正、行政机关不再处理其政府信息公开申请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2.申请人逾期未按收费通知要求缴纳费用、行政机关不再处理其政府信息公开申请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3.其他</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r>
      <w:tr>
        <w:tblPrEx>
          <w:tblCellMar>
            <w:top w:w="0" w:type="dxa"/>
            <w:left w:w="0" w:type="dxa"/>
            <w:bottom w:w="0" w:type="dxa"/>
            <w:right w:w="0" w:type="dxa"/>
          </w:tblCellMar>
        </w:tblPrEx>
        <w:trPr>
          <w:trHeight w:val="415"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（七）总计</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r>
      <w:tr>
        <w:tblPrEx>
          <w:tblCellMar>
            <w:top w:w="0" w:type="dxa"/>
            <w:left w:w="0" w:type="dxa"/>
            <w:bottom w:w="0" w:type="dxa"/>
            <w:right w:w="0" w:type="dxa"/>
          </w:tblCellMar>
        </w:tblPrEx>
        <w:trPr>
          <w:jc w:val="center"/>
        </w:trPr>
        <w:tc>
          <w:tcPr>
            <w:tcW w:w="49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四、结转下年度继续办理</w:t>
            </w:r>
          </w:p>
        </w:tc>
        <w:tc>
          <w:tcPr>
            <w:tcW w:w="6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bl>
    <w:p>
      <w:pPr>
        <w:widowControl/>
        <w:shd w:val="clear" w:color="auto" w:fill="FFFFFF"/>
        <w:spacing w:line="560" w:lineRule="exact"/>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6"/>
        <w:tblW w:w="10203" w:type="dxa"/>
        <w:jc w:val="center"/>
        <w:tblLayout w:type="autofit"/>
        <w:tblCellMar>
          <w:top w:w="0" w:type="dxa"/>
          <w:left w:w="0" w:type="dxa"/>
          <w:bottom w:w="0" w:type="dxa"/>
          <w:right w:w="0" w:type="dxa"/>
        </w:tblCellMar>
      </w:tblPr>
      <w:tblGrid>
        <w:gridCol w:w="701"/>
        <w:gridCol w:w="700"/>
        <w:gridCol w:w="701"/>
        <w:gridCol w:w="735"/>
        <w:gridCol w:w="522"/>
        <w:gridCol w:w="709"/>
        <w:gridCol w:w="709"/>
        <w:gridCol w:w="709"/>
        <w:gridCol w:w="708"/>
        <w:gridCol w:w="571"/>
        <w:gridCol w:w="833"/>
        <w:gridCol w:w="711"/>
        <w:gridCol w:w="723"/>
        <w:gridCol w:w="709"/>
        <w:gridCol w:w="462"/>
      </w:tblGrid>
      <w:tr>
        <w:tblPrEx>
          <w:tblCellMar>
            <w:top w:w="0" w:type="dxa"/>
            <w:left w:w="0" w:type="dxa"/>
            <w:bottom w:w="0" w:type="dxa"/>
            <w:right w:w="0" w:type="dxa"/>
          </w:tblCellMar>
        </w:tblPrEx>
        <w:trPr>
          <w:trHeight w:val="472" w:hRule="atLeast"/>
          <w:jc w:val="center"/>
        </w:trPr>
        <w:tc>
          <w:tcPr>
            <w:tcW w:w="335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行政复议</w:t>
            </w:r>
          </w:p>
        </w:tc>
        <w:tc>
          <w:tcPr>
            <w:tcW w:w="6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行政诉讼</w:t>
            </w:r>
          </w:p>
        </w:tc>
      </w:tr>
      <w:tr>
        <w:tblPrEx>
          <w:tblCellMar>
            <w:top w:w="0" w:type="dxa"/>
            <w:left w:w="0" w:type="dxa"/>
            <w:bottom w:w="0" w:type="dxa"/>
            <w:right w:w="0" w:type="dxa"/>
          </w:tblCellMar>
        </w:tblPrEx>
        <w:trPr>
          <w:trHeight w:val="563" w:hRule="atLeast"/>
          <w:jc w:val="center"/>
        </w:trPr>
        <w:tc>
          <w:tcPr>
            <w:tcW w:w="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340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未经复议直接起诉</w:t>
            </w:r>
          </w:p>
        </w:tc>
        <w:tc>
          <w:tcPr>
            <w:tcW w:w="343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35"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52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575" w:hRule="atLeast"/>
          <w:jc w:val="center"/>
        </w:trPr>
        <w:tc>
          <w:tcPr>
            <w:tcW w:w="7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bl>
    <w:p>
      <w:pPr>
        <w:pStyle w:val="5"/>
        <w:widowControl/>
        <w:shd w:val="clear" w:color="auto" w:fill="FFFFFF"/>
        <w:spacing w:before="0" w:beforeAutospacing="0" w:after="0" w:afterAutospacing="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五、存在的主要问题及改进情况</w:t>
      </w:r>
    </w:p>
    <w:p>
      <w:pPr>
        <w:pStyle w:val="5"/>
        <w:widowControl/>
        <w:shd w:val="clear" w:color="auto" w:fill="FFFFFF"/>
        <w:spacing w:before="0" w:beforeAutospacing="0" w:after="0" w:afterAutospacing="0" w:line="600" w:lineRule="exact"/>
        <w:ind w:firstLine="640" w:firstLineChars="200"/>
        <w:rPr>
          <w:rFonts w:ascii="仿宋_GB2312" w:hAnsi="仿宋_GB2312" w:eastAsia="仿宋_GB2312" w:cs="仿宋_GB2312"/>
          <w:bCs/>
          <w:color w:val="000000" w:themeColor="text1"/>
          <w:sz w:val="32"/>
          <w:szCs w:val="32"/>
          <w:shd w:val="clear" w:color="auto" w:fill="FFFFFF"/>
        </w:rPr>
      </w:pPr>
      <w:r>
        <w:rPr>
          <w:rFonts w:hint="eastAsia" w:ascii="楷体" w:hAnsi="楷体" w:eastAsia="楷体" w:cs="楷体"/>
          <w:bCs/>
          <w:color w:val="000000" w:themeColor="text1"/>
          <w:sz w:val="32"/>
          <w:szCs w:val="32"/>
          <w:shd w:val="clear" w:color="auto" w:fill="FFFFFF"/>
        </w:rPr>
        <w:t>（一）存在问题。</w:t>
      </w:r>
      <w:r>
        <w:rPr>
          <w:rFonts w:hint="eastAsia" w:ascii="仿宋_GB2312" w:hAnsi="仿宋_GB2312" w:eastAsia="仿宋_GB2312" w:cs="仿宋_GB2312"/>
          <w:bCs/>
          <w:color w:val="000000" w:themeColor="text1"/>
          <w:sz w:val="32"/>
          <w:szCs w:val="32"/>
          <w:shd w:val="clear" w:color="auto" w:fill="FFFFFF"/>
        </w:rPr>
        <w:t>一是政府信息公开申请的办理周期较长，时效性较差。二是</w:t>
      </w:r>
      <w:bookmarkStart w:id="7" w:name="OLE_LINK8"/>
      <w:bookmarkStart w:id="8" w:name="OLE_LINK9"/>
      <w:r>
        <w:rPr>
          <w:rFonts w:hint="eastAsia" w:ascii="仿宋_GB2312" w:hAnsi="仿宋_GB2312" w:eastAsia="仿宋_GB2312" w:cs="仿宋_GB2312"/>
          <w:bCs/>
          <w:color w:val="000000" w:themeColor="text1"/>
          <w:sz w:val="32"/>
          <w:szCs w:val="32"/>
          <w:shd w:val="clear" w:color="auto" w:fill="FFFFFF"/>
        </w:rPr>
        <w:t>政府信息公开范围划定还不够精准</w:t>
      </w:r>
      <w:bookmarkEnd w:id="7"/>
      <w:bookmarkEnd w:id="8"/>
      <w:r>
        <w:rPr>
          <w:rFonts w:hint="eastAsia" w:ascii="仿宋_GB2312" w:hAnsi="仿宋_GB2312" w:eastAsia="仿宋_GB2312" w:cs="仿宋_GB2312"/>
          <w:bCs/>
          <w:color w:val="000000" w:themeColor="text1"/>
          <w:sz w:val="32"/>
          <w:szCs w:val="32"/>
          <w:shd w:val="clear" w:color="auto" w:fill="FFFFFF"/>
        </w:rPr>
        <w:t>。</w:t>
      </w:r>
    </w:p>
    <w:p>
      <w:pPr>
        <w:pStyle w:val="5"/>
        <w:widowControl/>
        <w:shd w:val="clear" w:color="auto" w:fill="FFFFFF"/>
        <w:spacing w:before="0" w:beforeAutospacing="0" w:after="0" w:afterAutospacing="0" w:line="600" w:lineRule="exact"/>
        <w:ind w:firstLine="640" w:firstLineChars="200"/>
        <w:rPr>
          <w:rFonts w:ascii="仿宋_GB2312" w:hAnsi="仿宋_GB2312" w:eastAsia="仿宋_GB2312" w:cs="仿宋_GB2312"/>
          <w:bCs/>
          <w:color w:val="000000" w:themeColor="text1"/>
          <w:sz w:val="32"/>
          <w:szCs w:val="32"/>
          <w:shd w:val="clear" w:color="auto" w:fill="FFFFFF"/>
        </w:rPr>
      </w:pPr>
      <w:r>
        <w:rPr>
          <w:rFonts w:hint="eastAsia" w:ascii="楷体" w:hAnsi="楷体" w:eastAsia="楷体" w:cs="楷体"/>
          <w:bCs/>
          <w:color w:val="000000" w:themeColor="text1"/>
          <w:sz w:val="32"/>
          <w:szCs w:val="32"/>
          <w:shd w:val="clear" w:color="auto" w:fill="FFFFFF"/>
        </w:rPr>
        <w:t>（二）改进措施。一是</w:t>
      </w:r>
      <w:r>
        <w:rPr>
          <w:rFonts w:hint="eastAsia" w:ascii="仿宋_GB2312" w:hAnsi="仿宋_GB2312" w:eastAsia="仿宋_GB2312" w:cs="仿宋_GB2312"/>
          <w:bCs/>
          <w:color w:val="000000" w:themeColor="text1"/>
          <w:sz w:val="32"/>
          <w:szCs w:val="32"/>
          <w:shd w:val="clear" w:color="auto" w:fill="FFFFFF"/>
        </w:rPr>
        <w:t>加强与业务单位的沟通协作，</w:t>
      </w:r>
      <w:r>
        <w:rPr>
          <w:rFonts w:ascii="仿宋_GB2312" w:hAnsi="仿宋_GB2312" w:eastAsia="仿宋_GB2312" w:cs="仿宋_GB2312"/>
          <w:bCs/>
          <w:color w:val="000000" w:themeColor="text1"/>
          <w:sz w:val="32"/>
          <w:szCs w:val="32"/>
          <w:shd w:val="clear" w:color="auto" w:fill="FFFFFF"/>
        </w:rPr>
        <w:t>定期</w:t>
      </w:r>
      <w:r>
        <w:rPr>
          <w:rFonts w:hint="eastAsia" w:ascii="仿宋_GB2312" w:hAnsi="仿宋_GB2312" w:eastAsia="仿宋_GB2312" w:cs="仿宋_GB2312"/>
          <w:bCs/>
          <w:color w:val="000000" w:themeColor="text1"/>
          <w:sz w:val="32"/>
          <w:szCs w:val="32"/>
          <w:shd w:val="clear" w:color="auto" w:fill="FFFFFF"/>
        </w:rPr>
        <w:t>召开工作研讨会，互通</w:t>
      </w:r>
      <w:r>
        <w:rPr>
          <w:rFonts w:ascii="仿宋_GB2312" w:hAnsi="仿宋_GB2312" w:eastAsia="仿宋_GB2312" w:cs="仿宋_GB2312"/>
          <w:bCs/>
          <w:color w:val="000000" w:themeColor="text1"/>
          <w:sz w:val="32"/>
          <w:szCs w:val="32"/>
          <w:shd w:val="clear" w:color="auto" w:fill="FFFFFF"/>
        </w:rPr>
        <w:t>信息、共享资源，</w:t>
      </w:r>
      <w:r>
        <w:rPr>
          <w:rFonts w:hint="eastAsia" w:ascii="仿宋_GB2312" w:hAnsi="仿宋_GB2312" w:eastAsia="仿宋_GB2312" w:cs="仿宋_GB2312"/>
          <w:bCs/>
          <w:color w:val="000000" w:themeColor="text1"/>
          <w:sz w:val="32"/>
          <w:szCs w:val="32"/>
          <w:shd w:val="clear" w:color="auto" w:fill="FFFFFF"/>
        </w:rPr>
        <w:t>优化办理流程，压缩办理时间，提升办理质效。二是</w:t>
      </w:r>
      <w:r>
        <w:rPr>
          <w:rFonts w:ascii="仿宋_GB2312" w:hAnsi="仿宋_GB2312" w:eastAsia="仿宋_GB2312" w:cs="仿宋_GB2312"/>
          <w:bCs/>
          <w:color w:val="000000" w:themeColor="text1"/>
          <w:sz w:val="32"/>
          <w:szCs w:val="32"/>
          <w:shd w:val="clear" w:color="auto" w:fill="FFFFFF"/>
        </w:rPr>
        <w:t>深入研究相关法律法规和政策文件，准确把握信息公开的法定界限和政策尺度，明确政府信息公开的具体范围和内容，减少模糊地带。</w:t>
      </w:r>
    </w:p>
    <w:p>
      <w:pPr>
        <w:pStyle w:val="5"/>
        <w:widowControl/>
        <w:shd w:val="clear" w:color="auto" w:fill="FFFFFF"/>
        <w:spacing w:before="0" w:beforeAutospacing="0" w:after="0" w:afterAutospacing="0"/>
        <w:jc w:val="both"/>
        <w:rPr>
          <w:rFonts w:ascii="黑体" w:hAnsi="黑体" w:eastAsia="黑体" w:cs="黑体"/>
          <w:bCs/>
          <w:color w:val="000000" w:themeColor="text1"/>
          <w:sz w:val="32"/>
          <w:szCs w:val="32"/>
          <w:shd w:val="clear" w:color="auto" w:fill="FFFFFF"/>
        </w:rPr>
      </w:pPr>
      <w:r>
        <w:rPr>
          <w:rFonts w:hint="eastAsia" w:ascii="黑体" w:hAnsi="黑体" w:eastAsia="黑体" w:cs="黑体"/>
          <w:bCs/>
          <w:color w:val="000000" w:themeColor="text1"/>
          <w:sz w:val="32"/>
          <w:szCs w:val="32"/>
          <w:shd w:val="clear" w:color="auto" w:fill="FFFFFF"/>
        </w:rPr>
        <w:t>六、其他需要报告的事项</w:t>
      </w:r>
    </w:p>
    <w:p>
      <w:pPr>
        <w:pStyle w:val="5"/>
        <w:widowControl/>
        <w:shd w:val="clear" w:color="auto" w:fill="FFFFFF"/>
        <w:spacing w:before="0" w:beforeAutospacing="0" w:after="0" w:afterAutospacing="0" w:line="560" w:lineRule="atLeast"/>
        <w:ind w:firstLine="640"/>
        <w:rPr>
          <w:rFonts w:ascii="微软雅黑" w:hAnsi="微软雅黑" w:eastAsia="微软雅黑" w:cs="微软雅黑"/>
          <w:color w:val="000000"/>
          <w:sz w:val="27"/>
          <w:szCs w:val="27"/>
        </w:rPr>
      </w:pPr>
      <w:r>
        <w:rPr>
          <w:rFonts w:ascii="仿宋_GB2312" w:hAnsi="微软雅黑" w:eastAsia="仿宋_GB2312" w:cs="仿宋_GB2312"/>
          <w:color w:val="000000"/>
          <w:sz w:val="32"/>
          <w:szCs w:val="32"/>
          <w:shd w:val="clear" w:color="auto" w:fill="FFFFFF"/>
        </w:rPr>
        <w:t>（一）本年度淄博市公安局共办理政府信息公开申请</w:t>
      </w:r>
      <w:r>
        <w:rPr>
          <w:rFonts w:hint="eastAsia" w:ascii="仿宋_GB2312" w:hAnsi="微软雅黑" w:eastAsia="仿宋_GB2312" w:cs="仿宋_GB2312"/>
          <w:color w:val="000000"/>
          <w:sz w:val="32"/>
          <w:szCs w:val="32"/>
          <w:shd w:val="clear" w:color="auto" w:fill="FFFFFF"/>
        </w:rPr>
        <w:t>74件，不存在收费情况。</w:t>
      </w:r>
    </w:p>
    <w:p>
      <w:pPr>
        <w:pStyle w:val="5"/>
        <w:widowControl/>
        <w:shd w:val="clear" w:color="auto" w:fill="FFFFFF"/>
        <w:wordWrap w:val="0"/>
        <w:spacing w:before="0" w:beforeAutospacing="0" w:after="0" w:afterAutospacing="0" w:line="560" w:lineRule="atLeast"/>
        <w:ind w:firstLine="640"/>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（二）2024年，淄博市公安局办理人大建议18件，政协提案29件；根据保密原则，主动公开人大建议16件，政协提案23件，并对建议提案总体情况进行总结，一并公开到政府网站。</w:t>
      </w:r>
    </w:p>
    <w:p>
      <w:pPr>
        <w:pStyle w:val="5"/>
        <w:widowControl/>
        <w:shd w:val="clear" w:color="auto" w:fill="FFFFFF"/>
        <w:spacing w:before="0" w:beforeAutospacing="0" w:after="0" w:afterAutospacing="0" w:line="560" w:lineRule="atLeast"/>
        <w:ind w:firstLine="640" w:firstLineChars="200"/>
        <w:jc w:val="both"/>
        <w:rPr>
          <w:rFonts w:ascii="仿宋_GB2312" w:hAnsi="微软雅黑" w:eastAsia="仿宋_GB2312" w:cs="仿宋_GB2312"/>
          <w:color w:val="FF0000"/>
          <w:sz w:val="32"/>
          <w:szCs w:val="32"/>
          <w:shd w:val="clear" w:color="auto" w:fill="FFFFFF"/>
        </w:rPr>
      </w:pPr>
      <w:r>
        <w:rPr>
          <w:rFonts w:ascii="仿宋_GB2312" w:hAnsi="微软雅黑" w:eastAsia="仿宋_GB2312" w:cs="仿宋_GB2312"/>
          <w:color w:val="000000" w:themeColor="text1"/>
          <w:sz w:val="32"/>
          <w:szCs w:val="32"/>
          <w:shd w:val="clear" w:color="auto" w:fill="FFFFFF"/>
        </w:rPr>
        <w:t>（</w:t>
      </w:r>
      <w:r>
        <w:rPr>
          <w:rFonts w:hint="eastAsia" w:ascii="仿宋_GB2312" w:hAnsi="微软雅黑" w:eastAsia="仿宋_GB2312" w:cs="仿宋_GB2312"/>
          <w:color w:val="000000" w:themeColor="text1"/>
          <w:sz w:val="32"/>
          <w:szCs w:val="32"/>
          <w:shd w:val="clear" w:color="auto" w:fill="FFFFFF"/>
        </w:rPr>
        <w:t>三</w:t>
      </w:r>
      <w:r>
        <w:rPr>
          <w:rFonts w:ascii="仿宋_GB2312" w:hAnsi="微软雅黑" w:eastAsia="仿宋_GB2312" w:cs="仿宋_GB2312"/>
          <w:color w:val="000000" w:themeColor="text1"/>
          <w:sz w:val="32"/>
          <w:szCs w:val="32"/>
          <w:shd w:val="clear" w:color="auto" w:fill="FFFFFF"/>
        </w:rPr>
        <w:t>）</w:t>
      </w:r>
      <w:r>
        <w:rPr>
          <w:rFonts w:ascii="仿宋_GB2312" w:hAnsi="宋体" w:eastAsia="仿宋_GB2312" w:cs="仿宋_GB2312"/>
          <w:color w:val="000000" w:themeColor="text1"/>
          <w:sz w:val="32"/>
          <w:szCs w:val="32"/>
        </w:rPr>
        <w:t>202</w:t>
      </w:r>
      <w:r>
        <w:rPr>
          <w:rFonts w:hint="eastAsia" w:ascii="仿宋_GB2312" w:hAnsi="宋体" w:eastAsia="仿宋_GB2312" w:cs="仿宋_GB2312"/>
          <w:color w:val="000000" w:themeColor="text1"/>
          <w:sz w:val="32"/>
          <w:szCs w:val="32"/>
        </w:rPr>
        <w:t>4</w:t>
      </w:r>
      <w:r>
        <w:rPr>
          <w:rFonts w:ascii="仿宋_GB2312" w:hAnsi="宋体" w:eastAsia="仿宋_GB2312" w:cs="仿宋_GB2312"/>
          <w:color w:val="000000" w:themeColor="text1"/>
          <w:sz w:val="32"/>
          <w:szCs w:val="32"/>
        </w:rPr>
        <w:t>年，</w:t>
      </w:r>
      <w:bookmarkStart w:id="9" w:name="OLE_LINK13"/>
      <w:bookmarkStart w:id="10" w:name="OLE_LINK14"/>
      <w:r>
        <w:rPr>
          <w:rFonts w:ascii="仿宋_GB2312" w:hAnsi="宋体" w:eastAsia="仿宋_GB2312" w:cs="仿宋_GB2312"/>
          <w:color w:val="000000" w:themeColor="text1"/>
          <w:sz w:val="32"/>
          <w:szCs w:val="32"/>
        </w:rPr>
        <w:t>市公安局常态化</w:t>
      </w:r>
      <w:r>
        <w:rPr>
          <w:rFonts w:hint="eastAsia" w:ascii="仿宋_GB2312" w:hAnsi="宋体" w:eastAsia="仿宋_GB2312" w:cs="仿宋_GB2312"/>
          <w:color w:val="000000" w:themeColor="text1"/>
          <w:sz w:val="32"/>
          <w:szCs w:val="32"/>
        </w:rPr>
        <w:t>开展</w:t>
      </w:r>
      <w:bookmarkStart w:id="11" w:name="OLE_LINK12"/>
      <w:r>
        <w:rPr>
          <w:rFonts w:hint="eastAsia" w:ascii="仿宋_GB2312" w:hAnsi="宋体" w:eastAsia="仿宋_GB2312" w:cs="仿宋_GB2312"/>
          <w:color w:val="000000" w:themeColor="text1"/>
          <w:sz w:val="32"/>
          <w:szCs w:val="32"/>
        </w:rPr>
        <w:t>警营开放</w:t>
      </w:r>
      <w:bookmarkEnd w:id="11"/>
      <w:r>
        <w:rPr>
          <w:rFonts w:hint="eastAsia" w:ascii="仿宋_GB2312" w:hAnsi="宋体" w:eastAsia="仿宋_GB2312" w:cs="仿宋_GB2312"/>
          <w:color w:val="000000" w:themeColor="text1"/>
          <w:sz w:val="32"/>
          <w:szCs w:val="32"/>
        </w:rPr>
        <w:t>日和各类专题活动，</w:t>
      </w:r>
      <w:r>
        <w:rPr>
          <w:rFonts w:ascii="仿宋_GB2312" w:hAnsi="宋体" w:eastAsia="仿宋_GB2312" w:cs="仿宋_GB2312"/>
          <w:color w:val="000000" w:themeColor="text1"/>
          <w:sz w:val="32"/>
          <w:szCs w:val="32"/>
        </w:rPr>
        <w:t>“110宣传日”</w:t>
      </w:r>
      <w:r>
        <w:rPr>
          <w:rFonts w:hint="eastAsia" w:ascii="仿宋_GB2312" w:hAnsi="宋体" w:eastAsia="仿宋_GB2312" w:cs="仿宋_GB2312"/>
          <w:color w:val="000000" w:themeColor="text1"/>
          <w:sz w:val="32"/>
          <w:szCs w:val="32"/>
        </w:rPr>
        <w:t>警营开放活动、</w:t>
      </w:r>
      <w:r>
        <w:rPr>
          <w:rFonts w:ascii="仿宋_GB2312" w:hAnsi="宋体" w:eastAsia="仿宋_GB2312" w:cs="仿宋_GB2312"/>
          <w:color w:val="000000" w:themeColor="text1"/>
          <w:sz w:val="32"/>
          <w:szCs w:val="32"/>
        </w:rPr>
        <w:t>“春节出境游禁赌拒赌”宣传活动、打击食药环知犯罪“3.15”放心消费齐鲁行宣传活动、“5·15”打击和防范经济犯罪宣传日活动、“6.26国际禁毒日”主题宣传活动、反家暴暨维护妇女儿童合法权益妇警联动专题活动等系列活动的开展</w:t>
      </w:r>
      <w:bookmarkEnd w:id="9"/>
      <w:bookmarkEnd w:id="10"/>
      <w:r>
        <w:rPr>
          <w:rFonts w:hint="eastAsia" w:ascii="仿宋_GB2312" w:hAnsi="宋体" w:eastAsia="仿宋_GB2312" w:cs="仿宋_GB2312"/>
          <w:color w:val="000000" w:themeColor="text1"/>
          <w:sz w:val="32"/>
          <w:szCs w:val="32"/>
        </w:rPr>
        <w:t>，积极</w:t>
      </w:r>
      <w:r>
        <w:rPr>
          <w:rFonts w:ascii="仿宋_GB2312" w:hAnsi="宋体" w:eastAsia="仿宋_GB2312" w:cs="仿宋_GB2312"/>
          <w:color w:val="000000" w:themeColor="text1"/>
          <w:sz w:val="32"/>
          <w:szCs w:val="32"/>
        </w:rPr>
        <w:t>营造浓厚的法治氛围，赢得了广大市民的赞誉和好评</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除了传统的政府网站、门户网站等渠道外，市公安局积极探索多元化的公开方式，充分利用新媒体平台，如微博、微信、抖音等，及时发布政府信息，增强政务公开的互动性和便捷性。</w:t>
      </w:r>
    </w:p>
    <w:p>
      <w:pPr>
        <w:pStyle w:val="5"/>
        <w:widowControl/>
        <w:shd w:val="clear" w:color="auto" w:fill="FFFFFF"/>
        <w:spacing w:before="0" w:beforeAutospacing="0" w:after="0" w:afterAutospacing="0" w:line="560" w:lineRule="atLeast"/>
        <w:ind w:firstLine="640"/>
        <w:rPr>
          <w:rFonts w:ascii="微软雅黑" w:hAnsi="微软雅黑" w:eastAsia="微软雅黑" w:cs="微软雅黑"/>
          <w:color w:val="FF0000"/>
          <w:sz w:val="27"/>
          <w:szCs w:val="27"/>
        </w:rPr>
      </w:pPr>
      <w:r>
        <w:rPr>
          <w:rFonts w:ascii="仿宋_GB2312" w:hAnsi="微软雅黑" w:eastAsia="仿宋_GB2312" w:cs="仿宋_GB2312"/>
          <w:sz w:val="32"/>
          <w:szCs w:val="32"/>
          <w:shd w:val="clear" w:color="auto" w:fill="FFFFFF"/>
        </w:rPr>
        <w:t>（四）</w:t>
      </w:r>
      <w:r>
        <w:rPr>
          <w:rFonts w:hint="eastAsia" w:ascii="仿宋_GB2312" w:hAnsi="微软雅黑" w:eastAsia="仿宋_GB2312" w:cs="仿宋_GB2312"/>
          <w:sz w:val="32"/>
          <w:szCs w:val="32"/>
          <w:shd w:val="clear" w:color="auto" w:fill="FFFFFF"/>
        </w:rPr>
        <w:t>根据市政府印发的</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2024年淄博市政务公开工作方案》，市公安局制定了《2024年淄博市公安局政务公开重点工作分解表》，对方案中政务公开重点工作进行了进一步分解，严格落实各业务单位任务分工，本年度工作任务已按照要求全部完成。</w:t>
      </w:r>
    </w:p>
    <w:p>
      <w:pPr>
        <w:pStyle w:val="5"/>
        <w:widowControl/>
        <w:shd w:val="clear" w:color="auto" w:fill="FFFFFF"/>
        <w:spacing w:before="0" w:beforeAutospacing="0" w:after="0" w:afterAutospacing="0" w:line="560" w:lineRule="atLeast"/>
        <w:ind w:firstLine="640"/>
        <w:rPr>
          <w:rFonts w:ascii="微软雅黑" w:hAnsi="微软雅黑" w:eastAsia="微软雅黑" w:cs="微软雅黑"/>
          <w:sz w:val="27"/>
          <w:szCs w:val="27"/>
        </w:rPr>
      </w:pPr>
      <w:r>
        <w:rPr>
          <w:rFonts w:hint="eastAsia" w:ascii="仿宋_GB2312" w:hAnsi="微软雅黑" w:eastAsia="仿宋_GB2312" w:cs="仿宋_GB2312"/>
          <w:sz w:val="32"/>
          <w:szCs w:val="32"/>
          <w:shd w:val="clear" w:color="auto" w:fill="FFFFFF"/>
        </w:rPr>
        <w:t>（五）本报告为淄博市公安局统计数据，不含淄博市各区县数据。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2E5D4"/>
    <w:multiLevelType w:val="singleLevel"/>
    <w:tmpl w:val="8C02E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E63727"/>
    <w:rsid w:val="000E4E8F"/>
    <w:rsid w:val="000F0056"/>
    <w:rsid w:val="001937C3"/>
    <w:rsid w:val="001B3D81"/>
    <w:rsid w:val="001C570A"/>
    <w:rsid w:val="00231AA6"/>
    <w:rsid w:val="00282548"/>
    <w:rsid w:val="00392DFC"/>
    <w:rsid w:val="0045497F"/>
    <w:rsid w:val="00535E67"/>
    <w:rsid w:val="00542FAA"/>
    <w:rsid w:val="005D6D00"/>
    <w:rsid w:val="00653EDB"/>
    <w:rsid w:val="00732BD2"/>
    <w:rsid w:val="0077054B"/>
    <w:rsid w:val="008437ED"/>
    <w:rsid w:val="0089493F"/>
    <w:rsid w:val="008B3550"/>
    <w:rsid w:val="008F1D29"/>
    <w:rsid w:val="009529B8"/>
    <w:rsid w:val="00A77642"/>
    <w:rsid w:val="00B072C7"/>
    <w:rsid w:val="00B64F9C"/>
    <w:rsid w:val="00B74A91"/>
    <w:rsid w:val="00BA2F27"/>
    <w:rsid w:val="00BC4622"/>
    <w:rsid w:val="00BC7476"/>
    <w:rsid w:val="00BE3C51"/>
    <w:rsid w:val="00CD6CB2"/>
    <w:rsid w:val="00D76909"/>
    <w:rsid w:val="00E6286A"/>
    <w:rsid w:val="00E90402"/>
    <w:rsid w:val="00EC08E8"/>
    <w:rsid w:val="00F45804"/>
    <w:rsid w:val="00FB40E0"/>
    <w:rsid w:val="02B32100"/>
    <w:rsid w:val="03171D71"/>
    <w:rsid w:val="045F2A6C"/>
    <w:rsid w:val="0A881F49"/>
    <w:rsid w:val="10AF449E"/>
    <w:rsid w:val="130113C9"/>
    <w:rsid w:val="13A6557D"/>
    <w:rsid w:val="17030DDE"/>
    <w:rsid w:val="19AB6C3C"/>
    <w:rsid w:val="19C45300"/>
    <w:rsid w:val="1E5A0E96"/>
    <w:rsid w:val="1E6E0F0F"/>
    <w:rsid w:val="22FE5548"/>
    <w:rsid w:val="24227898"/>
    <w:rsid w:val="2A880B12"/>
    <w:rsid w:val="36E04737"/>
    <w:rsid w:val="3D060698"/>
    <w:rsid w:val="458164CB"/>
    <w:rsid w:val="4674227D"/>
    <w:rsid w:val="467E6381"/>
    <w:rsid w:val="4B736303"/>
    <w:rsid w:val="4C1313C3"/>
    <w:rsid w:val="535E2B1A"/>
    <w:rsid w:val="5CCE79BC"/>
    <w:rsid w:val="5D540A3B"/>
    <w:rsid w:val="5EA85B1D"/>
    <w:rsid w:val="62B65377"/>
    <w:rsid w:val="635C36E7"/>
    <w:rsid w:val="64E85CAF"/>
    <w:rsid w:val="6537533F"/>
    <w:rsid w:val="68E63727"/>
    <w:rsid w:val="74F34559"/>
    <w:rsid w:val="781328E9"/>
    <w:rsid w:val="7A02598A"/>
    <w:rsid w:val="7DD6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512</Words>
  <Characters>2920</Characters>
  <Lines>24</Lines>
  <Paragraphs>6</Paragraphs>
  <TotalTime>9</TotalTime>
  <ScaleCrop>false</ScaleCrop>
  <LinksUpToDate>false</LinksUpToDate>
  <CharactersWithSpaces>3426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2025-01-13T07:31:00Z</dcterms:created>
  <dc:creator>仇蕊</dc:creator>
  <cp:lastModifiedBy>Administrator</cp:lastModifiedBy>
  <dcterms:modified xsi:type="dcterms:W3CDTF">2025-01-21T08:59:58Z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C396C4D287994F9AA8BA9D787E400535</vt:lpwstr>
  </property>
</Properties>
</file>