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40" w:lineRule="exact"/>
        <w:jc w:val="center"/>
        <w:outlineLvl w:val="1"/>
        <w:rPr>
          <w:rFonts w:ascii="方正小标宋简体" w:hAnsi="微软雅黑" w:eastAsia="方正小标宋简体" w:cs="宋体"/>
          <w:color w:val="000000"/>
          <w:kern w:val="0"/>
          <w:sz w:val="44"/>
          <w:szCs w:val="44"/>
        </w:rPr>
      </w:pPr>
      <w:r>
        <w:rPr>
          <w:rFonts w:hint="eastAsia" w:ascii="方正小标宋简体" w:hAnsi="微软雅黑" w:eastAsia="方正小标宋简体" w:cs="宋体"/>
          <w:color w:val="000000"/>
          <w:kern w:val="0"/>
          <w:sz w:val="44"/>
          <w:szCs w:val="44"/>
        </w:rPr>
        <w:t>淄博市公安局</w:t>
      </w:r>
    </w:p>
    <w:p>
      <w:pPr>
        <w:widowControl/>
        <w:shd w:val="clear" w:color="auto" w:fill="FFFFFF"/>
        <w:spacing w:line="640" w:lineRule="exact"/>
        <w:jc w:val="center"/>
        <w:outlineLvl w:val="1"/>
        <w:rPr>
          <w:rFonts w:ascii="方正小标宋简体" w:hAnsi="微软雅黑" w:eastAsia="方正小标宋简体" w:cs="宋体"/>
          <w:color w:val="000000"/>
          <w:kern w:val="0"/>
          <w:sz w:val="44"/>
          <w:szCs w:val="44"/>
        </w:rPr>
      </w:pPr>
      <w:r>
        <w:rPr>
          <w:rFonts w:hint="eastAsia" w:ascii="方正小标宋简体" w:hAnsi="微软雅黑" w:eastAsia="方正小标宋简体" w:cs="宋体"/>
          <w:color w:val="000000"/>
          <w:kern w:val="0"/>
          <w:sz w:val="44"/>
          <w:szCs w:val="44"/>
        </w:rPr>
        <w:t>2023年政府信息公开工作年度报告</w:t>
      </w:r>
    </w:p>
    <w:p>
      <w:pPr>
        <w:widowControl/>
        <w:shd w:val="clear" w:color="auto" w:fill="FFFFFF"/>
        <w:spacing w:line="560" w:lineRule="exact"/>
        <w:ind w:firstLine="641"/>
        <w:jc w:val="left"/>
        <w:rPr>
          <w:rFonts w:ascii="仿宋_GB2312" w:hAnsi="微软雅黑" w:eastAsia="仿宋_GB2312" w:cs="宋体"/>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ascii="仿宋_GB2312" w:hAnsi="微软雅黑" w:eastAsia="仿宋_GB2312" w:cs="宋体"/>
          <w:color w:val="000000"/>
          <w:kern w:val="0"/>
          <w:sz w:val="32"/>
          <w:szCs w:val="32"/>
        </w:rPr>
      </w:pPr>
      <w:r>
        <w:rPr>
          <w:rFonts w:hint="eastAsia" w:ascii="仿宋_GB2312" w:hAnsi="微软雅黑" w:eastAsia="仿宋_GB2312" w:cs="宋体"/>
          <w:kern w:val="0"/>
          <w:sz w:val="32"/>
          <w:szCs w:val="32"/>
        </w:rPr>
        <w:t>本年度报告是根据《中华人民共和国政府信息公开条例》和《国务院办公厅政府信息与政务公开办公室关于印发&lt;中华人民共和国政府信息公开工作年度报告格式&gt;的通知》（国办公开办函</w:t>
      </w:r>
      <w:r>
        <w:rPr>
          <w:rFonts w:hint="eastAsia" w:ascii="仿宋_GB2312" w:hAnsi="仿宋_GB2312" w:eastAsia="仿宋_GB2312" w:cs="仿宋_GB2312"/>
          <w:kern w:val="0"/>
          <w:sz w:val="32"/>
          <w:szCs w:val="32"/>
        </w:rPr>
        <w:t>〔2021〕</w:t>
      </w:r>
      <w:r>
        <w:rPr>
          <w:rFonts w:hint="eastAsia" w:ascii="仿宋_GB2312" w:hAnsi="微软雅黑" w:eastAsia="仿宋_GB2312" w:cs="宋体"/>
          <w:kern w:val="0"/>
          <w:sz w:val="32"/>
          <w:szCs w:val="32"/>
        </w:rPr>
        <w:t>30号）相关要求编制。报告中所列数据统计期限自</w:t>
      </w:r>
      <w:r>
        <w:rPr>
          <w:rFonts w:hint="eastAsia" w:ascii="仿宋_GB2312" w:hAnsi="微软雅黑" w:eastAsia="仿宋_GB2312" w:cs="宋体"/>
          <w:color w:val="000000"/>
          <w:kern w:val="0"/>
          <w:sz w:val="32"/>
          <w:szCs w:val="32"/>
        </w:rPr>
        <w:t>2023年1月1日起至2023年12月31日止。如对本报告有任何疑问，请与淄博市公安局政府信息公开工作办公室联系（地址：张店区联通路318号；邮编：255095；联系电话：0533-2134139；电子信箱：zbgaxxgk@zb.shandong.cn。</w:t>
      </w:r>
    </w:p>
    <w:p>
      <w:pPr>
        <w:widowControl/>
        <w:shd w:val="clear" w:color="auto" w:fill="FFFFFF"/>
        <w:spacing w:line="560" w:lineRule="exact"/>
        <w:ind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rPr>
        <w:t>一、总体情况</w:t>
      </w:r>
    </w:p>
    <w:p>
      <w:pPr>
        <w:widowControl/>
        <w:shd w:val="clear" w:color="auto" w:fill="FFFFFF"/>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kern w:val="0"/>
          <w:sz w:val="32"/>
          <w:szCs w:val="32"/>
        </w:rPr>
        <w:t>2023年淄博市公安局</w:t>
      </w:r>
      <w:r>
        <w:rPr>
          <w:rFonts w:hint="eastAsia" w:ascii="仿宋_GB2312" w:hAnsi="仿宋_GB2312" w:eastAsia="仿宋_GB2312" w:cs="仿宋_GB2312"/>
          <w:color w:val="000000"/>
          <w:sz w:val="32"/>
          <w:szCs w:val="32"/>
          <w:shd w:val="clear" w:color="auto" w:fill="FFFFFF"/>
        </w:rPr>
        <w:t>认真贯彻落实《中华人民共和国政府信息公开条例》，按照《2023年淄博市政务公开工作方案》要求，围绕平台建设、政策文件、政策解读、监督保障等方面，</w:t>
      </w:r>
      <w:r>
        <w:rPr>
          <w:rFonts w:hint="eastAsia" w:ascii="仿宋_GB2312" w:hAnsi="仿宋_GB2312" w:eastAsia="仿宋_GB2312" w:cs="仿宋_GB2312"/>
          <w:color w:val="000000"/>
          <w:sz w:val="32"/>
          <w:szCs w:val="32"/>
        </w:rPr>
        <w:t>积极协调各部门扎实推进政府信息公开工作，</w:t>
      </w:r>
      <w:r>
        <w:rPr>
          <w:rFonts w:hint="eastAsia" w:ascii="仿宋_GB2312" w:hAnsi="仿宋_GB2312" w:eastAsia="仿宋_GB2312" w:cs="仿宋_GB2312"/>
          <w:color w:val="000000"/>
          <w:sz w:val="32"/>
          <w:szCs w:val="32"/>
          <w:shd w:val="clear" w:color="auto" w:fill="FFFFFF"/>
        </w:rPr>
        <w:t>不断提升公开质量。</w:t>
      </w:r>
    </w:p>
    <w:p>
      <w:pPr>
        <w:widowControl/>
        <w:shd w:val="clear" w:color="auto" w:fill="FFFFFF"/>
        <w:spacing w:line="560" w:lineRule="exact"/>
        <w:ind w:firstLine="640" w:firstLineChars="200"/>
        <w:rPr>
          <w:rFonts w:hint="default" w:ascii="仿宋_GB2312" w:hAnsi="仿宋_GB2312" w:eastAsia="仿宋_GB2312" w:cs="仿宋_GB2312"/>
          <w:color w:val="000000"/>
          <w:sz w:val="32"/>
          <w:szCs w:val="32"/>
          <w:shd w:val="clear" w:color="auto" w:fill="FFFFFF"/>
          <w:lang w:val="en-US" w:eastAsia="zh-CN"/>
        </w:rPr>
      </w:pPr>
      <w:r>
        <w:rPr>
          <w:rFonts w:hint="eastAsia" w:ascii="楷体" w:hAnsi="楷体" w:eastAsia="楷体" w:cs="楷体"/>
          <w:kern w:val="0"/>
          <w:sz w:val="32"/>
          <w:szCs w:val="32"/>
        </w:rPr>
        <w:t>（</w:t>
      </w:r>
      <w:r>
        <w:rPr>
          <w:rFonts w:hint="eastAsia" w:ascii="楷体" w:hAnsi="楷体" w:eastAsia="楷体" w:cs="楷体"/>
          <w:kern w:val="0"/>
          <w:sz w:val="32"/>
          <w:szCs w:val="32"/>
          <w:lang w:eastAsia="zh-CN"/>
        </w:rPr>
        <w:t>一</w:t>
      </w:r>
      <w:r>
        <w:rPr>
          <w:rFonts w:hint="eastAsia" w:ascii="楷体" w:hAnsi="楷体" w:eastAsia="楷体" w:cs="楷体"/>
          <w:kern w:val="0"/>
          <w:sz w:val="32"/>
          <w:szCs w:val="32"/>
        </w:rPr>
        <w:t>）</w:t>
      </w:r>
      <w:r>
        <w:rPr>
          <w:rFonts w:hint="eastAsia" w:ascii="楷体" w:hAnsi="楷体" w:eastAsia="楷体" w:cs="楷体"/>
          <w:color w:val="000000"/>
          <w:sz w:val="32"/>
          <w:szCs w:val="32"/>
          <w:shd w:val="clear" w:color="auto" w:fill="FFFFFF"/>
        </w:rPr>
        <w:t>主动公开及时全面。</w:t>
      </w:r>
      <w:r>
        <w:rPr>
          <w:rFonts w:hint="eastAsia" w:ascii="仿宋_GB2312" w:hAnsi="仿宋_GB2312" w:eastAsia="仿宋_GB2312" w:cs="仿宋_GB2312"/>
          <w:kern w:val="0"/>
          <w:sz w:val="32"/>
          <w:szCs w:val="32"/>
        </w:rPr>
        <w:t>2023年市公安局通过淄博市人民政府网站信息公开栏目发布各类公开信息170条，其中公开部门文件2件，文稿解读3件，图片解读4件，简明问答解读2件，新闻发布会解读1件，局长办公会4次。淄博市公安局门户网站（淄博市网上公安民生警务平台）发布各类信息753条；淄博公安</w:t>
      </w:r>
      <w:r>
        <w:rPr>
          <w:rFonts w:hint="eastAsia" w:ascii="仿宋_GB2312" w:hAnsi="仿宋_GB2312" w:eastAsia="仿宋_GB2312" w:cs="仿宋_GB2312"/>
          <w:kern w:val="0"/>
          <w:sz w:val="32"/>
          <w:szCs w:val="32"/>
          <w:lang w:eastAsia="zh-CN"/>
        </w:rPr>
        <w:t>微信</w:t>
      </w:r>
      <w:r>
        <w:rPr>
          <w:rFonts w:hint="eastAsia" w:ascii="仿宋_GB2312" w:hAnsi="仿宋_GB2312" w:eastAsia="仿宋_GB2312" w:cs="仿宋_GB2312"/>
          <w:kern w:val="0"/>
          <w:sz w:val="32"/>
          <w:szCs w:val="32"/>
        </w:rPr>
        <w:t>公众号关注人数</w:t>
      </w:r>
      <w:r>
        <w:rPr>
          <w:rFonts w:hint="eastAsia" w:ascii="仿宋_GB2312" w:hAnsi="仿宋_GB2312" w:eastAsia="仿宋_GB2312" w:cs="仿宋_GB2312"/>
          <w:kern w:val="0"/>
          <w:sz w:val="32"/>
          <w:szCs w:val="32"/>
          <w:lang w:val="en-US" w:eastAsia="zh-CN"/>
        </w:rPr>
        <w:t>26</w:t>
      </w:r>
      <w:r>
        <w:rPr>
          <w:rFonts w:hint="eastAsia" w:ascii="仿宋_GB2312" w:hAnsi="仿宋_GB2312" w:eastAsia="仿宋_GB2312" w:cs="仿宋_GB2312"/>
          <w:kern w:val="0"/>
          <w:sz w:val="32"/>
          <w:szCs w:val="32"/>
        </w:rPr>
        <w:t>万余人；淄博警方微博账号关注人数90万余人，转发评论167万余条；淄博警方抖音视频号粉丝155万余人，获赞数2171万余条。充分利用社交新媒体的传播力扩大主动公开范围，及时并持续加大政策文件公开力度。2023年，市公安局召开新闻发布会5次。</w:t>
      </w:r>
    </w:p>
    <w:p>
      <w:pPr>
        <w:widowControl/>
        <w:numPr>
          <w:ilvl w:val="0"/>
          <w:numId w:val="0"/>
        </w:numPr>
        <w:shd w:val="clear" w:color="auto" w:fill="FFFFFF"/>
        <w:spacing w:line="560" w:lineRule="exact"/>
        <w:ind w:firstLine="640" w:firstLineChars="200"/>
        <w:rPr>
          <w:rFonts w:hint="default" w:ascii="仿宋_GB2312" w:hAnsi="仿宋_GB2312" w:eastAsia="仿宋_GB2312" w:cs="仿宋_GB2312"/>
          <w:color w:val="000000"/>
          <w:sz w:val="32"/>
          <w:szCs w:val="32"/>
          <w:shd w:val="clear" w:color="auto" w:fill="FFFFFF"/>
          <w:lang w:val="en-US" w:eastAsia="zh-CN"/>
        </w:rPr>
      </w:pPr>
      <w:r>
        <w:rPr>
          <w:rFonts w:hint="eastAsia" w:ascii="楷体" w:hAnsi="楷体" w:eastAsia="楷体" w:cs="楷体"/>
          <w:kern w:val="0"/>
          <w:sz w:val="32"/>
          <w:szCs w:val="32"/>
        </w:rPr>
        <w:t>（二）高质高效办理依申请公开。</w:t>
      </w:r>
      <w:r>
        <w:rPr>
          <w:rFonts w:hint="eastAsia" w:ascii="仿宋_GB2312" w:hAnsi="仿宋_GB2312" w:eastAsia="仿宋_GB2312" w:cs="仿宋_GB2312"/>
          <w:kern w:val="0"/>
          <w:sz w:val="32"/>
          <w:szCs w:val="32"/>
        </w:rPr>
        <w:t>2023年，淄博市公安局通过邮寄、电子邮件、政务公开平台共受理政府信息公开申请47件，</w:t>
      </w:r>
      <w:r>
        <w:rPr>
          <w:rFonts w:hint="eastAsia" w:ascii="仿宋_GB2312" w:hAnsi="仿宋_GB2312" w:eastAsia="仿宋_GB2312" w:cs="仿宋_GB2312"/>
          <w:kern w:val="0"/>
          <w:sz w:val="32"/>
          <w:szCs w:val="32"/>
          <w:lang w:eastAsia="zh-CN"/>
        </w:rPr>
        <w:t>同比增长</w:t>
      </w:r>
      <w:r>
        <w:rPr>
          <w:rFonts w:hint="eastAsia" w:ascii="仿宋_GB2312" w:hAnsi="仿宋_GB2312" w:eastAsia="仿宋_GB2312" w:cs="仿宋_GB2312"/>
          <w:kern w:val="0"/>
          <w:sz w:val="32"/>
          <w:szCs w:val="32"/>
        </w:rPr>
        <w:t>42%</w:t>
      </w:r>
      <w:r>
        <w:rPr>
          <w:rFonts w:hint="eastAsia" w:ascii="仿宋_GB2312" w:hAnsi="仿宋_GB2312" w:eastAsia="仿宋_GB2312" w:cs="仿宋_GB2312"/>
          <w:kern w:val="0"/>
          <w:sz w:val="32"/>
          <w:szCs w:val="32"/>
          <w:lang w:eastAsia="zh-CN"/>
        </w:rPr>
        <w:t>，全部为自然人申请。共作出政府信息公开申请答复书</w:t>
      </w:r>
      <w:r>
        <w:rPr>
          <w:rFonts w:hint="eastAsia" w:ascii="仿宋_GB2312" w:hAnsi="仿宋_GB2312" w:eastAsia="仿宋_GB2312" w:cs="仿宋_GB2312"/>
          <w:kern w:val="0"/>
          <w:sz w:val="32"/>
          <w:szCs w:val="32"/>
          <w:lang w:val="en-US" w:eastAsia="zh-CN"/>
        </w:rPr>
        <w:t>42</w:t>
      </w:r>
      <w:r>
        <w:rPr>
          <w:rFonts w:hint="eastAsia" w:ascii="仿宋_GB2312" w:hAnsi="仿宋_GB2312" w:eastAsia="仿宋_GB2312" w:cs="仿宋_GB2312"/>
          <w:kern w:val="0"/>
          <w:sz w:val="32"/>
          <w:szCs w:val="32"/>
        </w:rPr>
        <w:t>件</w:t>
      </w:r>
      <w:r>
        <w:rPr>
          <w:rFonts w:hint="eastAsia" w:ascii="仿宋_GB2312" w:hAnsi="仿宋_GB2312" w:eastAsia="仿宋_GB2312" w:cs="仿宋_GB2312"/>
          <w:kern w:val="0"/>
          <w:sz w:val="32"/>
          <w:szCs w:val="32"/>
          <w:lang w:eastAsia="zh-CN"/>
        </w:rPr>
        <w:t>（含上年结转</w:t>
      </w:r>
      <w:r>
        <w:rPr>
          <w:rFonts w:hint="eastAsia" w:ascii="仿宋_GB2312" w:hAnsi="仿宋_GB2312" w:eastAsia="仿宋_GB2312" w:cs="仿宋_GB2312"/>
          <w:kern w:val="0"/>
          <w:sz w:val="32"/>
          <w:szCs w:val="32"/>
          <w:lang w:val="en-US" w:eastAsia="zh-CN"/>
        </w:rPr>
        <w:t>1件</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，其中同意公开5件，部分公开1件，不予公开2件，</w:t>
      </w:r>
      <w:r>
        <w:rPr>
          <w:rFonts w:hint="eastAsia" w:ascii="仿宋_GB2312" w:hAnsi="仿宋_GB2312" w:eastAsia="仿宋_GB2312" w:cs="仿宋_GB2312"/>
          <w:sz w:val="32"/>
          <w:szCs w:val="32"/>
        </w:rPr>
        <w:t>本机关不掌握相关政府信息无法提供</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件，其他4件。</w:t>
      </w:r>
      <w:r>
        <w:rPr>
          <w:rFonts w:hint="eastAsia" w:ascii="仿宋_GB2312" w:hAnsi="仿宋_GB2312" w:eastAsia="仿宋_GB2312" w:cs="仿宋_GB2312"/>
          <w:sz w:val="32"/>
          <w:szCs w:val="32"/>
          <w:lang w:val="en-US" w:eastAsia="zh-CN"/>
        </w:rPr>
        <w:t>2023年，因政府信息依申请公开提起行政诉讼2起，均结果维持。</w:t>
      </w:r>
    </w:p>
    <w:p>
      <w:pPr>
        <w:spacing w:line="560" w:lineRule="exact"/>
        <w:ind w:firstLine="640" w:firstLineChars="200"/>
        <w:rPr>
          <w:rFonts w:hint="eastAsia" w:ascii="仿宋_GB2312" w:hAnsi="仿宋_GB2312" w:eastAsia="仿宋_GB2312" w:cs="仿宋_GB2312"/>
          <w:color w:val="000000"/>
          <w:sz w:val="32"/>
          <w:szCs w:val="32"/>
          <w:highlight w:val="none"/>
          <w:shd w:val="clear" w:color="auto" w:fill="FFFFFF"/>
        </w:rPr>
      </w:pPr>
      <w:r>
        <w:rPr>
          <w:rFonts w:hint="eastAsia" w:ascii="楷体" w:hAnsi="楷体" w:eastAsia="楷体" w:cs="楷体"/>
          <w:color w:val="000000"/>
          <w:sz w:val="32"/>
          <w:szCs w:val="32"/>
          <w:shd w:val="clear" w:color="auto" w:fill="FFFFFF"/>
        </w:rPr>
        <w:t>（三）加强政府信息管理工作。</w:t>
      </w:r>
      <w:r>
        <w:rPr>
          <w:rFonts w:hint="eastAsia" w:ascii="仿宋_GB2312" w:hAnsi="仿宋_GB2312" w:eastAsia="仿宋_GB2312" w:cs="仿宋_GB2312"/>
          <w:color w:val="000000"/>
          <w:sz w:val="32"/>
          <w:szCs w:val="32"/>
          <w:shd w:val="clear" w:color="auto" w:fill="FFFFFF"/>
        </w:rPr>
        <w:t>2023年，市公安局按照市政府《淄博市2023年政务公开常态化工作任务清单》的工作要求，对政务公开常态化工作进行了任务分解，制作了《淄博市公安局2023年政务公开常态化工作任务清单》，严格按照任务分工，抓好工作落实。2023年，按照市政府工作部署，补充完善了市公安局行政执法事项内容，动态调整政府信息主动公开目录，进一步完善了《淄博市公安局政府信息公开指南》</w:t>
      </w:r>
      <w:r>
        <w:rPr>
          <w:rFonts w:hint="eastAsia" w:ascii="仿宋_GB2312" w:hAnsi="仿宋_GB2312" w:eastAsia="仿宋_GB2312" w:cs="仿宋_GB2312"/>
          <w:color w:val="000000"/>
          <w:sz w:val="32"/>
          <w:szCs w:val="32"/>
          <w:highlight w:val="none"/>
          <w:shd w:val="clear" w:color="auto" w:fill="FFFFFF"/>
        </w:rPr>
        <w:t>。</w:t>
      </w:r>
    </w:p>
    <w:p>
      <w:pPr>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楷体" w:hAnsi="楷体" w:eastAsia="楷体" w:cs="楷体"/>
          <w:color w:val="000000"/>
          <w:sz w:val="32"/>
          <w:szCs w:val="32"/>
          <w:shd w:val="clear" w:color="auto" w:fill="FFFFFF"/>
        </w:rPr>
        <w:t>（四）不断完善平台建设管理。</w:t>
      </w:r>
      <w:r>
        <w:rPr>
          <w:rFonts w:hint="eastAsia" w:ascii="仿宋_GB2312" w:hAnsi="仿宋_GB2312" w:eastAsia="仿宋_GB2312" w:cs="仿宋_GB2312"/>
          <w:color w:val="000000"/>
          <w:sz w:val="32"/>
          <w:szCs w:val="32"/>
          <w:shd w:val="clear" w:color="auto" w:fill="FFFFFF"/>
        </w:rPr>
        <w:t>一是在信息的审核发布上，强化日常监督检查，实行专人专责，严格落实信息发布保密审查制度；二是对季度通报进行汇总整改，对现有的栏目不断更新完善，认真分析存在的问题，举一反三，做到不留死角、不留盲区。</w:t>
      </w:r>
    </w:p>
    <w:p>
      <w:pPr>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楷体" w:hAnsi="楷体" w:eastAsia="楷体" w:cs="楷体"/>
          <w:color w:val="000000"/>
          <w:sz w:val="32"/>
          <w:szCs w:val="32"/>
          <w:shd w:val="clear" w:color="auto" w:fill="FFFFFF"/>
        </w:rPr>
        <w:t>（五）监督保障更加有力。</w:t>
      </w:r>
      <w:r>
        <w:rPr>
          <w:rFonts w:hint="eastAsia" w:ascii="仿宋_GB2312" w:hAnsi="仿宋_GB2312" w:eastAsia="仿宋_GB2312" w:cs="仿宋_GB2312"/>
          <w:color w:val="000000"/>
          <w:sz w:val="32"/>
          <w:szCs w:val="32"/>
          <w:shd w:val="clear" w:color="auto" w:fill="FFFFFF"/>
        </w:rPr>
        <w:t>一是根据机构设置、人员变动情况对政务公开领导小组进行了调整。建立联络员制度，更加高效推动全局政务公开工作。二是进一步加强政务公开队伍建设，健全协调机制。对政务公开工作中的疑难问题进行会商讨论，做到特事特办。三是举办政务公开培训会，切实提高工作人员政务公开业务能力。</w:t>
      </w:r>
    </w:p>
    <w:p>
      <w:pPr>
        <w:rPr>
          <w:rFonts w:ascii="微软雅黑" w:hAnsi="微软雅黑" w:eastAsia="微软雅黑"/>
          <w:color w:val="000000"/>
          <w:sz w:val="32"/>
          <w:szCs w:val="32"/>
        </w:rPr>
      </w:pPr>
      <w:r>
        <w:rPr>
          <w:rFonts w:hint="eastAsia" w:ascii="黑体" w:hAnsi="黑体" w:eastAsia="黑体"/>
          <w:color w:val="000000"/>
          <w:sz w:val="32"/>
          <w:szCs w:val="32"/>
        </w:rPr>
        <w:t>二、主动公开政府信息情况</w:t>
      </w:r>
    </w:p>
    <w:tbl>
      <w:tblPr>
        <w:tblStyle w:val="6"/>
        <w:tblW w:w="8925" w:type="dxa"/>
        <w:jc w:val="center"/>
        <w:tblLayout w:type="autofit"/>
        <w:tblCellMar>
          <w:top w:w="0" w:type="dxa"/>
          <w:left w:w="0" w:type="dxa"/>
          <w:bottom w:w="0" w:type="dxa"/>
          <w:right w:w="0" w:type="dxa"/>
        </w:tblCellMar>
      </w:tblPr>
      <w:tblGrid>
        <w:gridCol w:w="2691"/>
        <w:gridCol w:w="1984"/>
        <w:gridCol w:w="2029"/>
        <w:gridCol w:w="2221"/>
      </w:tblGrid>
      <w:tr>
        <w:tblPrEx>
          <w:tblCellMar>
            <w:top w:w="0" w:type="dxa"/>
            <w:left w:w="0" w:type="dxa"/>
            <w:bottom w:w="0" w:type="dxa"/>
            <w:right w:w="0" w:type="dxa"/>
          </w:tblCellMar>
        </w:tblPrEx>
        <w:trPr>
          <w:trHeight w:val="345" w:hRule="atLeast"/>
          <w:jc w:val="center"/>
        </w:trPr>
        <w:tc>
          <w:tcPr>
            <w:tcW w:w="8925" w:type="dxa"/>
            <w:gridSpan w:val="4"/>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hint="eastAsia" w:ascii="仿宋_GB2312" w:hAnsi="宋体" w:eastAsia="仿宋_GB2312" w:cs="宋体"/>
                <w:color w:val="000000"/>
                <w:kern w:val="0"/>
                <w:sz w:val="24"/>
                <w:szCs w:val="24"/>
              </w:rPr>
              <w:t>第二十条第（一）项</w:t>
            </w:r>
          </w:p>
        </w:tc>
      </w:tr>
      <w:tr>
        <w:tblPrEx>
          <w:tblCellMar>
            <w:top w:w="0" w:type="dxa"/>
            <w:left w:w="0" w:type="dxa"/>
            <w:bottom w:w="0" w:type="dxa"/>
            <w:right w:w="0" w:type="dxa"/>
          </w:tblCellMar>
        </w:tblPrEx>
        <w:trPr>
          <w:trHeight w:val="405" w:hRule="atLeast"/>
          <w:jc w:val="center"/>
        </w:trPr>
        <w:tc>
          <w:tcPr>
            <w:tcW w:w="269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hint="eastAsia" w:ascii="仿宋_GB2312" w:hAnsi="宋体" w:eastAsia="仿宋_GB2312" w:cs="宋体"/>
                <w:color w:val="000000"/>
                <w:kern w:val="0"/>
                <w:sz w:val="24"/>
                <w:szCs w:val="24"/>
              </w:rPr>
              <w:t>信息内容</w:t>
            </w:r>
          </w:p>
        </w:tc>
        <w:tc>
          <w:tcPr>
            <w:tcW w:w="19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仿宋_GB2312" w:cs="宋体"/>
                <w:kern w:val="0"/>
                <w:sz w:val="24"/>
                <w:szCs w:val="24"/>
              </w:rPr>
            </w:pPr>
            <w:r>
              <w:rPr>
                <w:rFonts w:hint="eastAsia" w:ascii="仿宋_GB2312" w:hAnsi="宋体" w:eastAsia="仿宋_GB2312" w:cs="宋体"/>
                <w:color w:val="000000"/>
                <w:kern w:val="0"/>
                <w:sz w:val="24"/>
                <w:szCs w:val="24"/>
              </w:rPr>
              <w:t>本年制发件数</w:t>
            </w:r>
          </w:p>
        </w:tc>
        <w:tc>
          <w:tcPr>
            <w:tcW w:w="20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仿宋_GB2312" w:cs="宋体"/>
                <w:kern w:val="0"/>
                <w:sz w:val="24"/>
                <w:szCs w:val="24"/>
              </w:rPr>
            </w:pPr>
            <w:r>
              <w:rPr>
                <w:rFonts w:hint="eastAsia" w:ascii="仿宋_GB2312" w:hAnsi="宋体" w:eastAsia="仿宋_GB2312" w:cs="宋体"/>
                <w:color w:val="000000"/>
                <w:kern w:val="0"/>
                <w:sz w:val="24"/>
                <w:szCs w:val="24"/>
              </w:rPr>
              <w:t>本年废止件数</w:t>
            </w:r>
          </w:p>
        </w:tc>
        <w:tc>
          <w:tcPr>
            <w:tcW w:w="222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hint="eastAsia" w:ascii="仿宋_GB2312" w:hAnsi="宋体" w:eastAsia="仿宋_GB2312" w:cs="宋体"/>
                <w:color w:val="000000"/>
                <w:kern w:val="0"/>
                <w:sz w:val="24"/>
                <w:szCs w:val="24"/>
              </w:rPr>
              <w:t>现行有效件数</w:t>
            </w:r>
          </w:p>
        </w:tc>
      </w:tr>
      <w:tr>
        <w:tblPrEx>
          <w:tblCellMar>
            <w:top w:w="0" w:type="dxa"/>
            <w:left w:w="0" w:type="dxa"/>
            <w:bottom w:w="0" w:type="dxa"/>
            <w:right w:w="0" w:type="dxa"/>
          </w:tblCellMar>
        </w:tblPrEx>
        <w:trPr>
          <w:trHeight w:val="405" w:hRule="atLeast"/>
          <w:jc w:val="center"/>
        </w:trPr>
        <w:tc>
          <w:tcPr>
            <w:tcW w:w="269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left"/>
              <w:rPr>
                <w:rFonts w:ascii="宋体" w:hAnsi="宋体" w:eastAsia="宋体" w:cs="宋体"/>
                <w:kern w:val="0"/>
                <w:sz w:val="24"/>
                <w:szCs w:val="24"/>
              </w:rPr>
            </w:pPr>
            <w:r>
              <w:rPr>
                <w:rFonts w:hint="eastAsia" w:ascii="仿宋_GB2312" w:hAnsi="宋体" w:eastAsia="仿宋_GB2312" w:cs="宋体"/>
                <w:color w:val="000000"/>
                <w:kern w:val="0"/>
                <w:sz w:val="24"/>
                <w:szCs w:val="24"/>
              </w:rPr>
              <w:t>规章</w:t>
            </w:r>
          </w:p>
        </w:tc>
        <w:tc>
          <w:tcPr>
            <w:tcW w:w="19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left"/>
              <w:rPr>
                <w:rFonts w:ascii="宋体" w:hAnsi="宋体" w:eastAsia="宋体" w:cs="宋体"/>
                <w:kern w:val="0"/>
                <w:sz w:val="24"/>
                <w:szCs w:val="24"/>
              </w:rPr>
            </w:pPr>
            <w:r>
              <w:rPr>
                <w:rFonts w:hint="eastAsia" w:ascii="仿宋_GB2312" w:hAnsi="宋体" w:eastAsia="仿宋_GB2312" w:cs="宋体"/>
                <w:color w:val="000000"/>
                <w:kern w:val="0"/>
                <w:sz w:val="24"/>
                <w:szCs w:val="24"/>
              </w:rPr>
              <w:t>0</w:t>
            </w:r>
          </w:p>
        </w:tc>
        <w:tc>
          <w:tcPr>
            <w:tcW w:w="20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left"/>
              <w:rPr>
                <w:rFonts w:ascii="宋体" w:hAnsi="宋体" w:eastAsia="宋体" w:cs="宋体"/>
                <w:kern w:val="0"/>
                <w:sz w:val="24"/>
                <w:szCs w:val="24"/>
              </w:rPr>
            </w:pPr>
            <w:r>
              <w:rPr>
                <w:rFonts w:hint="eastAsia" w:ascii="仿宋_GB2312" w:hAnsi="宋体" w:eastAsia="仿宋_GB2312" w:cs="宋体"/>
                <w:color w:val="000000"/>
                <w:kern w:val="0"/>
                <w:sz w:val="24"/>
                <w:szCs w:val="24"/>
              </w:rPr>
              <w:t>0</w:t>
            </w:r>
          </w:p>
        </w:tc>
        <w:tc>
          <w:tcPr>
            <w:tcW w:w="222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left"/>
              <w:rPr>
                <w:rFonts w:ascii="宋体" w:hAnsi="宋体" w:eastAsia="宋体" w:cs="宋体"/>
                <w:kern w:val="0"/>
                <w:sz w:val="24"/>
                <w:szCs w:val="24"/>
              </w:rPr>
            </w:pPr>
            <w:r>
              <w:rPr>
                <w:rFonts w:hint="eastAsia" w:ascii="仿宋_GB2312" w:hAnsi="宋体" w:eastAsia="仿宋_GB2312" w:cs="宋体"/>
                <w:color w:val="000000"/>
                <w:kern w:val="0"/>
                <w:sz w:val="24"/>
                <w:szCs w:val="24"/>
              </w:rPr>
              <w:t>0</w:t>
            </w:r>
          </w:p>
        </w:tc>
      </w:tr>
      <w:tr>
        <w:tblPrEx>
          <w:tblCellMar>
            <w:top w:w="0" w:type="dxa"/>
            <w:left w:w="0" w:type="dxa"/>
            <w:bottom w:w="0" w:type="dxa"/>
            <w:right w:w="0" w:type="dxa"/>
          </w:tblCellMar>
        </w:tblPrEx>
        <w:trPr>
          <w:trHeight w:val="405" w:hRule="atLeast"/>
          <w:jc w:val="center"/>
        </w:trPr>
        <w:tc>
          <w:tcPr>
            <w:tcW w:w="269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left"/>
              <w:rPr>
                <w:rFonts w:ascii="宋体" w:hAnsi="宋体" w:eastAsia="宋体" w:cs="宋体"/>
                <w:kern w:val="0"/>
                <w:sz w:val="24"/>
                <w:szCs w:val="24"/>
              </w:rPr>
            </w:pPr>
            <w:r>
              <w:rPr>
                <w:rFonts w:hint="eastAsia" w:ascii="仿宋_GB2312" w:hAnsi="宋体" w:eastAsia="仿宋_GB2312" w:cs="宋体"/>
                <w:color w:val="000000"/>
                <w:kern w:val="0"/>
                <w:sz w:val="24"/>
                <w:szCs w:val="24"/>
              </w:rPr>
              <w:t>规范性文件</w:t>
            </w:r>
          </w:p>
        </w:tc>
        <w:tc>
          <w:tcPr>
            <w:tcW w:w="19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left"/>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0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left"/>
              <w:rPr>
                <w:rFonts w:ascii="宋体" w:hAnsi="宋体" w:eastAsia="宋体" w:cs="宋体"/>
                <w:kern w:val="0"/>
                <w:sz w:val="24"/>
                <w:szCs w:val="24"/>
              </w:rPr>
            </w:pPr>
            <w:r>
              <w:rPr>
                <w:rFonts w:hint="eastAsia" w:ascii="仿宋_GB2312" w:hAnsi="宋体" w:eastAsia="仿宋_GB2312" w:cs="宋体"/>
                <w:color w:val="000000"/>
                <w:kern w:val="0"/>
                <w:sz w:val="24"/>
                <w:szCs w:val="24"/>
              </w:rPr>
              <w:t>0</w:t>
            </w:r>
          </w:p>
        </w:tc>
        <w:tc>
          <w:tcPr>
            <w:tcW w:w="222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left"/>
              <w:rPr>
                <w:rFonts w:ascii="宋体" w:hAnsi="宋体" w:eastAsia="宋体" w:cs="宋体"/>
                <w:kern w:val="0"/>
                <w:sz w:val="24"/>
                <w:szCs w:val="24"/>
              </w:rPr>
            </w:pPr>
            <w:r>
              <w:rPr>
                <w:rFonts w:hint="eastAsia" w:ascii="仿宋_GB2312" w:hAnsi="宋体" w:eastAsia="仿宋_GB2312" w:cs="宋体"/>
                <w:color w:val="000000"/>
                <w:kern w:val="0"/>
                <w:sz w:val="24"/>
                <w:szCs w:val="24"/>
              </w:rPr>
              <w:t>0</w:t>
            </w:r>
          </w:p>
        </w:tc>
      </w:tr>
      <w:tr>
        <w:tblPrEx>
          <w:tblCellMar>
            <w:top w:w="0" w:type="dxa"/>
            <w:left w:w="0" w:type="dxa"/>
            <w:bottom w:w="0" w:type="dxa"/>
            <w:right w:w="0" w:type="dxa"/>
          </w:tblCellMar>
        </w:tblPrEx>
        <w:trPr>
          <w:trHeight w:val="390" w:hRule="atLeast"/>
          <w:jc w:val="center"/>
        </w:trPr>
        <w:tc>
          <w:tcPr>
            <w:tcW w:w="8925"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hint="eastAsia" w:ascii="仿宋_GB2312" w:hAnsi="宋体" w:eastAsia="仿宋_GB2312" w:cs="宋体"/>
                <w:color w:val="000000"/>
                <w:kern w:val="0"/>
                <w:sz w:val="24"/>
                <w:szCs w:val="24"/>
              </w:rPr>
              <w:t>第二十条第（五）项</w:t>
            </w:r>
          </w:p>
        </w:tc>
      </w:tr>
      <w:tr>
        <w:tblPrEx>
          <w:tblCellMar>
            <w:top w:w="0" w:type="dxa"/>
            <w:left w:w="0" w:type="dxa"/>
            <w:bottom w:w="0" w:type="dxa"/>
            <w:right w:w="0" w:type="dxa"/>
          </w:tblCellMar>
        </w:tblPrEx>
        <w:trPr>
          <w:trHeight w:val="465" w:hRule="atLeast"/>
          <w:jc w:val="center"/>
        </w:trPr>
        <w:tc>
          <w:tcPr>
            <w:tcW w:w="269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hint="eastAsia" w:ascii="仿宋_GB2312" w:hAnsi="宋体" w:eastAsia="仿宋_GB2312" w:cs="宋体"/>
                <w:color w:val="000000"/>
                <w:kern w:val="0"/>
                <w:sz w:val="24"/>
                <w:szCs w:val="24"/>
              </w:rPr>
              <w:t>信息内容</w:t>
            </w:r>
          </w:p>
        </w:tc>
        <w:tc>
          <w:tcPr>
            <w:tcW w:w="6234"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hint="eastAsia" w:ascii="仿宋_GB2312" w:hAnsi="宋体" w:eastAsia="仿宋_GB2312" w:cs="宋体"/>
                <w:color w:val="000000"/>
                <w:kern w:val="0"/>
                <w:sz w:val="24"/>
                <w:szCs w:val="24"/>
              </w:rPr>
              <w:t>本年处理决定数量</w:t>
            </w:r>
          </w:p>
        </w:tc>
      </w:tr>
      <w:tr>
        <w:tblPrEx>
          <w:tblCellMar>
            <w:top w:w="0" w:type="dxa"/>
            <w:left w:w="0" w:type="dxa"/>
            <w:bottom w:w="0" w:type="dxa"/>
            <w:right w:w="0" w:type="dxa"/>
          </w:tblCellMar>
        </w:tblPrEx>
        <w:trPr>
          <w:trHeight w:val="405" w:hRule="atLeast"/>
          <w:jc w:val="center"/>
        </w:trPr>
        <w:tc>
          <w:tcPr>
            <w:tcW w:w="269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宋体" w:hAnsi="宋体" w:eastAsia="宋体" w:cs="宋体"/>
                <w:kern w:val="0"/>
                <w:sz w:val="24"/>
                <w:szCs w:val="24"/>
              </w:rPr>
            </w:pPr>
            <w:r>
              <w:rPr>
                <w:rFonts w:hint="eastAsia" w:ascii="仿宋_GB2312" w:hAnsi="宋体" w:eastAsia="仿宋_GB2312" w:cs="宋体"/>
                <w:kern w:val="0"/>
                <w:sz w:val="24"/>
                <w:szCs w:val="24"/>
              </w:rPr>
              <w:t>行政许可</w:t>
            </w:r>
          </w:p>
        </w:tc>
        <w:tc>
          <w:tcPr>
            <w:tcW w:w="6234"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2824082</w:t>
            </w:r>
          </w:p>
        </w:tc>
      </w:tr>
      <w:tr>
        <w:tblPrEx>
          <w:tblCellMar>
            <w:top w:w="0" w:type="dxa"/>
            <w:left w:w="0" w:type="dxa"/>
            <w:bottom w:w="0" w:type="dxa"/>
            <w:right w:w="0" w:type="dxa"/>
          </w:tblCellMar>
        </w:tblPrEx>
        <w:trPr>
          <w:trHeight w:val="300" w:hRule="atLeast"/>
          <w:jc w:val="center"/>
        </w:trPr>
        <w:tc>
          <w:tcPr>
            <w:tcW w:w="8925"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第二十条第（六）项</w:t>
            </w:r>
          </w:p>
        </w:tc>
      </w:tr>
      <w:tr>
        <w:tblPrEx>
          <w:tblCellMar>
            <w:top w:w="0" w:type="dxa"/>
            <w:left w:w="0" w:type="dxa"/>
            <w:bottom w:w="0" w:type="dxa"/>
            <w:right w:w="0" w:type="dxa"/>
          </w:tblCellMar>
        </w:tblPrEx>
        <w:trPr>
          <w:trHeight w:val="360" w:hRule="atLeast"/>
          <w:jc w:val="center"/>
        </w:trPr>
        <w:tc>
          <w:tcPr>
            <w:tcW w:w="269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hint="eastAsia" w:ascii="仿宋_GB2312" w:hAnsi="宋体" w:eastAsia="仿宋_GB2312" w:cs="宋体"/>
                <w:color w:val="000000"/>
                <w:kern w:val="0"/>
                <w:sz w:val="24"/>
                <w:szCs w:val="24"/>
              </w:rPr>
              <w:t>信息内容</w:t>
            </w:r>
          </w:p>
        </w:tc>
        <w:tc>
          <w:tcPr>
            <w:tcW w:w="6234"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本年处理决定数量</w:t>
            </w:r>
          </w:p>
        </w:tc>
      </w:tr>
      <w:tr>
        <w:tblPrEx>
          <w:tblCellMar>
            <w:top w:w="0" w:type="dxa"/>
            <w:left w:w="0" w:type="dxa"/>
            <w:bottom w:w="0" w:type="dxa"/>
            <w:right w:w="0" w:type="dxa"/>
          </w:tblCellMar>
        </w:tblPrEx>
        <w:trPr>
          <w:trHeight w:val="315" w:hRule="atLeast"/>
          <w:jc w:val="center"/>
        </w:trPr>
        <w:tc>
          <w:tcPr>
            <w:tcW w:w="269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宋体" w:hAnsi="宋体" w:eastAsia="宋体" w:cs="宋体"/>
                <w:kern w:val="0"/>
                <w:sz w:val="24"/>
                <w:szCs w:val="24"/>
              </w:rPr>
            </w:pPr>
            <w:r>
              <w:rPr>
                <w:rFonts w:hint="eastAsia" w:ascii="仿宋_GB2312" w:hAnsi="宋体" w:eastAsia="仿宋_GB2312" w:cs="宋体"/>
                <w:color w:val="000000"/>
                <w:kern w:val="0"/>
                <w:sz w:val="24"/>
                <w:szCs w:val="24"/>
              </w:rPr>
              <w:t>行政处罚</w:t>
            </w:r>
          </w:p>
        </w:tc>
        <w:tc>
          <w:tcPr>
            <w:tcW w:w="6234"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9739</w:t>
            </w:r>
          </w:p>
        </w:tc>
      </w:tr>
      <w:tr>
        <w:tblPrEx>
          <w:tblCellMar>
            <w:top w:w="0" w:type="dxa"/>
            <w:left w:w="0" w:type="dxa"/>
            <w:bottom w:w="0" w:type="dxa"/>
            <w:right w:w="0" w:type="dxa"/>
          </w:tblCellMar>
        </w:tblPrEx>
        <w:trPr>
          <w:trHeight w:val="315" w:hRule="atLeast"/>
          <w:jc w:val="center"/>
        </w:trPr>
        <w:tc>
          <w:tcPr>
            <w:tcW w:w="269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宋体" w:hAnsi="宋体" w:eastAsia="宋体" w:cs="宋体"/>
                <w:kern w:val="0"/>
                <w:sz w:val="24"/>
                <w:szCs w:val="24"/>
              </w:rPr>
            </w:pPr>
            <w:r>
              <w:rPr>
                <w:rFonts w:hint="eastAsia" w:ascii="仿宋_GB2312" w:hAnsi="宋体" w:eastAsia="仿宋_GB2312" w:cs="宋体"/>
                <w:color w:val="000000"/>
                <w:kern w:val="0"/>
                <w:sz w:val="24"/>
                <w:szCs w:val="24"/>
              </w:rPr>
              <w:t>行政强制</w:t>
            </w:r>
          </w:p>
        </w:tc>
        <w:tc>
          <w:tcPr>
            <w:tcW w:w="6234"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41</w:t>
            </w:r>
            <w:bookmarkStart w:id="0" w:name="_GoBack"/>
            <w:bookmarkEnd w:id="0"/>
          </w:p>
        </w:tc>
      </w:tr>
      <w:tr>
        <w:tblPrEx>
          <w:tblCellMar>
            <w:top w:w="0" w:type="dxa"/>
            <w:left w:w="0" w:type="dxa"/>
            <w:bottom w:w="0" w:type="dxa"/>
            <w:right w:w="0" w:type="dxa"/>
          </w:tblCellMar>
        </w:tblPrEx>
        <w:trPr>
          <w:trHeight w:val="345" w:hRule="atLeast"/>
          <w:jc w:val="center"/>
        </w:trPr>
        <w:tc>
          <w:tcPr>
            <w:tcW w:w="8925"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hint="eastAsia" w:ascii="仿宋_GB2312" w:hAnsi="宋体" w:eastAsia="仿宋_GB2312" w:cs="宋体"/>
                <w:color w:val="000000"/>
                <w:kern w:val="0"/>
                <w:sz w:val="24"/>
                <w:szCs w:val="24"/>
              </w:rPr>
              <w:t>第二十条第（八）项</w:t>
            </w:r>
          </w:p>
        </w:tc>
      </w:tr>
      <w:tr>
        <w:tblPrEx>
          <w:tblCellMar>
            <w:top w:w="0" w:type="dxa"/>
            <w:left w:w="0" w:type="dxa"/>
            <w:bottom w:w="0" w:type="dxa"/>
            <w:right w:w="0" w:type="dxa"/>
          </w:tblCellMar>
        </w:tblPrEx>
        <w:trPr>
          <w:trHeight w:val="360" w:hRule="atLeast"/>
          <w:jc w:val="center"/>
        </w:trPr>
        <w:tc>
          <w:tcPr>
            <w:tcW w:w="269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hint="eastAsia" w:ascii="仿宋_GB2312" w:hAnsi="宋体" w:eastAsia="仿宋_GB2312" w:cs="宋体"/>
                <w:color w:val="000000"/>
                <w:kern w:val="0"/>
                <w:sz w:val="24"/>
                <w:szCs w:val="24"/>
              </w:rPr>
              <w:t>信息内容</w:t>
            </w:r>
          </w:p>
        </w:tc>
        <w:tc>
          <w:tcPr>
            <w:tcW w:w="6234"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tabs>
                <w:tab w:val="left" w:pos="2050"/>
              </w:tabs>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ab/>
            </w:r>
            <w:r>
              <w:rPr>
                <w:rFonts w:hint="eastAsia" w:ascii="仿宋_GB2312" w:hAnsi="宋体" w:eastAsia="仿宋_GB2312" w:cs="宋体"/>
                <w:color w:val="000000"/>
                <w:kern w:val="0"/>
                <w:sz w:val="24"/>
                <w:szCs w:val="24"/>
              </w:rPr>
              <w:t>本年收费金额（单位：万元）</w:t>
            </w:r>
          </w:p>
        </w:tc>
      </w:tr>
      <w:tr>
        <w:tblPrEx>
          <w:tblCellMar>
            <w:top w:w="0" w:type="dxa"/>
            <w:left w:w="0" w:type="dxa"/>
            <w:bottom w:w="0" w:type="dxa"/>
            <w:right w:w="0" w:type="dxa"/>
          </w:tblCellMar>
        </w:tblPrEx>
        <w:trPr>
          <w:trHeight w:val="360" w:hRule="atLeast"/>
          <w:jc w:val="center"/>
        </w:trPr>
        <w:tc>
          <w:tcPr>
            <w:tcW w:w="269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宋体" w:hAnsi="宋体" w:eastAsia="宋体" w:cs="宋体"/>
                <w:kern w:val="0"/>
                <w:sz w:val="24"/>
                <w:szCs w:val="24"/>
              </w:rPr>
            </w:pPr>
            <w:r>
              <w:rPr>
                <w:rFonts w:hint="eastAsia" w:ascii="仿宋_GB2312" w:hAnsi="宋体" w:eastAsia="仿宋_GB2312" w:cs="宋体"/>
                <w:color w:val="000000"/>
                <w:kern w:val="0"/>
                <w:sz w:val="24"/>
                <w:szCs w:val="24"/>
              </w:rPr>
              <w:t>行政事业性收费</w:t>
            </w:r>
          </w:p>
        </w:tc>
        <w:tc>
          <w:tcPr>
            <w:tcW w:w="6234"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10276.39</w:t>
            </w:r>
          </w:p>
        </w:tc>
      </w:tr>
    </w:tbl>
    <w:p>
      <w:pPr>
        <w:widowControl/>
        <w:shd w:val="clear" w:color="auto" w:fill="FFFFFF"/>
        <w:spacing w:line="560" w:lineRule="exact"/>
        <w:jc w:val="left"/>
        <w:rPr>
          <w:rFonts w:ascii="黑体" w:hAnsi="黑体" w:eastAsia="黑体" w:cs="宋体"/>
          <w:color w:val="000000"/>
          <w:kern w:val="0"/>
          <w:sz w:val="32"/>
          <w:szCs w:val="32"/>
        </w:rPr>
      </w:pPr>
    </w:p>
    <w:p>
      <w:pPr>
        <w:widowControl/>
        <w:shd w:val="clear" w:color="auto" w:fill="FFFFFF"/>
        <w:spacing w:line="560" w:lineRule="exact"/>
        <w:jc w:val="left"/>
        <w:rPr>
          <w:rFonts w:ascii="微软雅黑" w:hAnsi="微软雅黑" w:eastAsia="微软雅黑" w:cs="宋体"/>
          <w:color w:val="000000"/>
          <w:kern w:val="0"/>
          <w:sz w:val="32"/>
          <w:szCs w:val="32"/>
        </w:rPr>
      </w:pPr>
      <w:r>
        <w:rPr>
          <w:rFonts w:hint="eastAsia" w:ascii="黑体" w:hAnsi="黑体" w:eastAsia="黑体" w:cs="宋体"/>
          <w:color w:val="000000"/>
          <w:kern w:val="0"/>
          <w:sz w:val="32"/>
          <w:szCs w:val="32"/>
        </w:rPr>
        <w:t>三、收到和处理政府信息公开申请情况</w:t>
      </w:r>
    </w:p>
    <w:tbl>
      <w:tblPr>
        <w:tblStyle w:val="6"/>
        <w:tblW w:w="9858" w:type="dxa"/>
        <w:jc w:val="center"/>
        <w:tblLayout w:type="autofit"/>
        <w:tblCellMar>
          <w:top w:w="0" w:type="dxa"/>
          <w:left w:w="0" w:type="dxa"/>
          <w:bottom w:w="0" w:type="dxa"/>
          <w:right w:w="0" w:type="dxa"/>
        </w:tblCellMar>
      </w:tblPr>
      <w:tblGrid>
        <w:gridCol w:w="745"/>
        <w:gridCol w:w="1612"/>
        <w:gridCol w:w="2627"/>
        <w:gridCol w:w="624"/>
        <w:gridCol w:w="709"/>
        <w:gridCol w:w="709"/>
        <w:gridCol w:w="708"/>
        <w:gridCol w:w="709"/>
        <w:gridCol w:w="733"/>
        <w:gridCol w:w="682"/>
      </w:tblGrid>
      <w:tr>
        <w:tblPrEx>
          <w:tblCellMar>
            <w:top w:w="0" w:type="dxa"/>
            <w:left w:w="0" w:type="dxa"/>
            <w:bottom w:w="0" w:type="dxa"/>
            <w:right w:w="0" w:type="dxa"/>
          </w:tblCellMar>
        </w:tblPrEx>
        <w:trPr>
          <w:trHeight w:val="448" w:hRule="atLeast"/>
          <w:jc w:val="center"/>
        </w:trPr>
        <w:tc>
          <w:tcPr>
            <w:tcW w:w="4984"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left"/>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（本列数据的勾稽关系为：第一项加第二项之和，等于第三项加第四项之和）</w:t>
            </w:r>
          </w:p>
        </w:tc>
        <w:tc>
          <w:tcPr>
            <w:tcW w:w="4874"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申请人情况</w:t>
            </w:r>
          </w:p>
        </w:tc>
      </w:tr>
      <w:tr>
        <w:tblPrEx>
          <w:tblCellMar>
            <w:top w:w="0" w:type="dxa"/>
            <w:left w:w="0" w:type="dxa"/>
            <w:bottom w:w="0" w:type="dxa"/>
            <w:right w:w="0" w:type="dxa"/>
          </w:tblCellMar>
        </w:tblPrEx>
        <w:trPr>
          <w:trHeight w:val="531" w:hRule="atLeast"/>
          <w:jc w:val="center"/>
        </w:trPr>
        <w:tc>
          <w:tcPr>
            <w:tcW w:w="4984"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tLeast"/>
              <w:jc w:val="left"/>
              <w:rPr>
                <w:rFonts w:ascii="仿宋_GB2312" w:hAnsi="宋体" w:eastAsia="仿宋_GB2312" w:cs="宋体"/>
                <w:kern w:val="0"/>
                <w:sz w:val="24"/>
                <w:szCs w:val="24"/>
              </w:rPr>
            </w:pPr>
          </w:p>
        </w:tc>
        <w:tc>
          <w:tcPr>
            <w:tcW w:w="62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自然人</w:t>
            </w:r>
          </w:p>
        </w:tc>
        <w:tc>
          <w:tcPr>
            <w:tcW w:w="3568"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法人或其他组织</w:t>
            </w:r>
          </w:p>
        </w:tc>
        <w:tc>
          <w:tcPr>
            <w:tcW w:w="68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总计</w:t>
            </w:r>
          </w:p>
        </w:tc>
      </w:tr>
      <w:tr>
        <w:tblPrEx>
          <w:tblCellMar>
            <w:top w:w="0" w:type="dxa"/>
            <w:left w:w="0" w:type="dxa"/>
            <w:bottom w:w="0" w:type="dxa"/>
            <w:right w:w="0" w:type="dxa"/>
          </w:tblCellMar>
        </w:tblPrEx>
        <w:trPr>
          <w:trHeight w:val="1127" w:hRule="atLeast"/>
          <w:jc w:val="center"/>
        </w:trPr>
        <w:tc>
          <w:tcPr>
            <w:tcW w:w="4984"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tLeast"/>
              <w:jc w:val="left"/>
              <w:rPr>
                <w:rFonts w:ascii="仿宋_GB2312" w:hAnsi="宋体" w:eastAsia="仿宋_GB2312" w:cs="宋体"/>
                <w:kern w:val="0"/>
                <w:sz w:val="24"/>
                <w:szCs w:val="24"/>
              </w:rPr>
            </w:pPr>
          </w:p>
        </w:tc>
        <w:tc>
          <w:tcPr>
            <w:tcW w:w="624" w:type="dxa"/>
            <w:vMerge w:val="continue"/>
            <w:tcBorders>
              <w:top w:val="nil"/>
              <w:left w:val="nil"/>
              <w:bottom w:val="single" w:color="auto" w:sz="8" w:space="0"/>
              <w:right w:val="single" w:color="auto" w:sz="8" w:space="0"/>
            </w:tcBorders>
            <w:vAlign w:val="center"/>
          </w:tcPr>
          <w:p>
            <w:pPr>
              <w:widowControl/>
              <w:spacing w:line="240" w:lineRule="atLeast"/>
              <w:jc w:val="left"/>
              <w:rPr>
                <w:rFonts w:ascii="仿宋_GB2312" w:hAnsi="宋体" w:eastAsia="仿宋_GB2312" w:cs="宋体"/>
                <w:kern w:val="0"/>
                <w:sz w:val="24"/>
                <w:szCs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left"/>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商业企业</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left"/>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科研机构</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left"/>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社会公益组织</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left"/>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法律服务机构</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left"/>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其他</w:t>
            </w:r>
          </w:p>
        </w:tc>
        <w:tc>
          <w:tcPr>
            <w:tcW w:w="682" w:type="dxa"/>
            <w:vMerge w:val="continue"/>
            <w:tcBorders>
              <w:top w:val="nil"/>
              <w:left w:val="nil"/>
              <w:bottom w:val="single" w:color="auto" w:sz="8" w:space="0"/>
              <w:right w:val="single" w:color="auto" w:sz="8" w:space="0"/>
            </w:tcBorders>
            <w:vAlign w:val="center"/>
          </w:tcPr>
          <w:p>
            <w:pPr>
              <w:widowControl/>
              <w:spacing w:line="240" w:lineRule="atLeast"/>
              <w:jc w:val="left"/>
              <w:rPr>
                <w:rFonts w:ascii="仿宋_GB2312" w:hAnsi="宋体" w:eastAsia="仿宋_GB2312" w:cs="宋体"/>
                <w:kern w:val="0"/>
                <w:sz w:val="24"/>
                <w:szCs w:val="24"/>
              </w:rPr>
            </w:pPr>
          </w:p>
        </w:tc>
      </w:tr>
      <w:tr>
        <w:tblPrEx>
          <w:tblCellMar>
            <w:top w:w="0" w:type="dxa"/>
            <w:left w:w="0" w:type="dxa"/>
            <w:bottom w:w="0" w:type="dxa"/>
            <w:right w:w="0" w:type="dxa"/>
          </w:tblCellMar>
        </w:tblPrEx>
        <w:trPr>
          <w:trHeight w:val="449" w:hRule="atLeast"/>
          <w:jc w:val="center"/>
        </w:trPr>
        <w:tc>
          <w:tcPr>
            <w:tcW w:w="4984"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240" w:lineRule="atLeast"/>
              <w:jc w:val="left"/>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一、本年新收政府信息公开申请数量</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47</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6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47</w:t>
            </w:r>
          </w:p>
        </w:tc>
      </w:tr>
      <w:tr>
        <w:tblPrEx>
          <w:tblCellMar>
            <w:top w:w="0" w:type="dxa"/>
            <w:left w:w="0" w:type="dxa"/>
            <w:bottom w:w="0" w:type="dxa"/>
            <w:right w:w="0" w:type="dxa"/>
          </w:tblCellMar>
        </w:tblPrEx>
        <w:trPr>
          <w:trHeight w:val="399" w:hRule="atLeast"/>
          <w:jc w:val="center"/>
        </w:trPr>
        <w:tc>
          <w:tcPr>
            <w:tcW w:w="4984"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240" w:lineRule="atLeast"/>
              <w:jc w:val="left"/>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二、上年结转政府信息公开申请数量</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6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w:t>
            </w:r>
          </w:p>
        </w:tc>
      </w:tr>
      <w:tr>
        <w:tblPrEx>
          <w:tblCellMar>
            <w:top w:w="0" w:type="dxa"/>
            <w:left w:w="0" w:type="dxa"/>
            <w:bottom w:w="0" w:type="dxa"/>
            <w:right w:w="0" w:type="dxa"/>
          </w:tblCellMar>
        </w:tblPrEx>
        <w:trPr>
          <w:trHeight w:val="418" w:hRule="atLeast"/>
          <w:jc w:val="center"/>
        </w:trPr>
        <w:tc>
          <w:tcPr>
            <w:tcW w:w="74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left"/>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三、本年度办理结果</w:t>
            </w:r>
          </w:p>
        </w:tc>
        <w:tc>
          <w:tcPr>
            <w:tcW w:w="4239" w:type="dxa"/>
            <w:gridSpan w:val="2"/>
            <w:tcBorders>
              <w:top w:val="nil"/>
              <w:left w:val="nil"/>
              <w:bottom w:val="single" w:color="auto" w:sz="8" w:space="0"/>
              <w:right w:val="single" w:color="auto" w:sz="8" w:space="0"/>
            </w:tcBorders>
            <w:tcMar>
              <w:top w:w="0" w:type="dxa"/>
              <w:left w:w="108" w:type="dxa"/>
              <w:bottom w:w="0" w:type="dxa"/>
              <w:right w:w="108" w:type="dxa"/>
            </w:tcMar>
          </w:tcPr>
          <w:p>
            <w:pPr>
              <w:widowControl/>
              <w:spacing w:line="240" w:lineRule="atLeast"/>
              <w:jc w:val="left"/>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（一）予以公开</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6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w:t>
            </w:r>
          </w:p>
        </w:tc>
      </w:tr>
      <w:tr>
        <w:tblPrEx>
          <w:tblCellMar>
            <w:top w:w="0" w:type="dxa"/>
            <w:left w:w="0" w:type="dxa"/>
            <w:bottom w:w="0" w:type="dxa"/>
            <w:right w:w="0" w:type="dxa"/>
          </w:tblCellMar>
        </w:tblPrEx>
        <w:trPr>
          <w:jc w:val="center"/>
        </w:trPr>
        <w:tc>
          <w:tcPr>
            <w:tcW w:w="745" w:type="dxa"/>
            <w:vMerge w:val="continue"/>
            <w:tcBorders>
              <w:top w:val="nil"/>
              <w:left w:val="single" w:color="auto" w:sz="8" w:space="0"/>
              <w:bottom w:val="single" w:color="auto" w:sz="8" w:space="0"/>
              <w:right w:val="single" w:color="auto" w:sz="8" w:space="0"/>
            </w:tcBorders>
            <w:vAlign w:val="center"/>
          </w:tcPr>
          <w:p>
            <w:pPr>
              <w:widowControl/>
              <w:spacing w:line="240" w:lineRule="atLeast"/>
              <w:jc w:val="left"/>
              <w:rPr>
                <w:rFonts w:ascii="仿宋_GB2312" w:hAnsi="宋体" w:eastAsia="仿宋_GB2312" w:cs="宋体"/>
                <w:kern w:val="0"/>
                <w:sz w:val="24"/>
                <w:szCs w:val="24"/>
              </w:rPr>
            </w:pPr>
          </w:p>
        </w:tc>
        <w:tc>
          <w:tcPr>
            <w:tcW w:w="4239" w:type="dxa"/>
            <w:gridSpan w:val="2"/>
            <w:tcBorders>
              <w:top w:val="nil"/>
              <w:left w:val="nil"/>
              <w:bottom w:val="single" w:color="auto" w:sz="8" w:space="0"/>
              <w:right w:val="single" w:color="auto" w:sz="8" w:space="0"/>
            </w:tcBorders>
            <w:tcMar>
              <w:top w:w="0" w:type="dxa"/>
              <w:left w:w="108" w:type="dxa"/>
              <w:bottom w:w="0" w:type="dxa"/>
              <w:right w:w="108" w:type="dxa"/>
            </w:tcMar>
          </w:tcPr>
          <w:p>
            <w:pPr>
              <w:widowControl/>
              <w:spacing w:line="240" w:lineRule="atLeast"/>
              <w:jc w:val="left"/>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（二）部分公开（区分处理的，只计这一情形，不计其他情形）</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6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w:t>
            </w:r>
          </w:p>
        </w:tc>
      </w:tr>
      <w:tr>
        <w:tblPrEx>
          <w:tblCellMar>
            <w:top w:w="0" w:type="dxa"/>
            <w:left w:w="0" w:type="dxa"/>
            <w:bottom w:w="0" w:type="dxa"/>
            <w:right w:w="0" w:type="dxa"/>
          </w:tblCellMar>
        </w:tblPrEx>
        <w:trPr>
          <w:trHeight w:val="490" w:hRule="atLeast"/>
          <w:jc w:val="center"/>
        </w:trPr>
        <w:tc>
          <w:tcPr>
            <w:tcW w:w="745" w:type="dxa"/>
            <w:vMerge w:val="continue"/>
            <w:tcBorders>
              <w:top w:val="nil"/>
              <w:left w:val="single" w:color="auto" w:sz="8" w:space="0"/>
              <w:bottom w:val="single" w:color="auto" w:sz="8" w:space="0"/>
              <w:right w:val="single" w:color="auto" w:sz="8" w:space="0"/>
            </w:tcBorders>
            <w:vAlign w:val="center"/>
          </w:tcPr>
          <w:p>
            <w:pPr>
              <w:widowControl/>
              <w:spacing w:line="240" w:lineRule="atLeast"/>
              <w:jc w:val="left"/>
              <w:rPr>
                <w:rFonts w:ascii="仿宋_GB2312" w:hAnsi="宋体" w:eastAsia="仿宋_GB2312" w:cs="宋体"/>
                <w:kern w:val="0"/>
                <w:sz w:val="24"/>
                <w:szCs w:val="24"/>
              </w:rPr>
            </w:pPr>
          </w:p>
        </w:tc>
        <w:tc>
          <w:tcPr>
            <w:tcW w:w="161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left"/>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（三）不予公开</w:t>
            </w:r>
          </w:p>
        </w:tc>
        <w:tc>
          <w:tcPr>
            <w:tcW w:w="2627"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40" w:lineRule="atLeast"/>
              <w:jc w:val="left"/>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1．属于国家秘密</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6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r>
      <w:tr>
        <w:tblPrEx>
          <w:tblCellMar>
            <w:top w:w="0" w:type="dxa"/>
            <w:left w:w="0" w:type="dxa"/>
            <w:bottom w:w="0" w:type="dxa"/>
            <w:right w:w="0" w:type="dxa"/>
          </w:tblCellMar>
        </w:tblPrEx>
        <w:trPr>
          <w:trHeight w:val="426" w:hRule="atLeast"/>
          <w:jc w:val="center"/>
        </w:trPr>
        <w:tc>
          <w:tcPr>
            <w:tcW w:w="745" w:type="dxa"/>
            <w:vMerge w:val="continue"/>
            <w:tcBorders>
              <w:top w:val="nil"/>
              <w:left w:val="single" w:color="auto" w:sz="8" w:space="0"/>
              <w:bottom w:val="single" w:color="auto" w:sz="8" w:space="0"/>
              <w:right w:val="single" w:color="auto" w:sz="8" w:space="0"/>
            </w:tcBorders>
            <w:vAlign w:val="center"/>
          </w:tcPr>
          <w:p>
            <w:pPr>
              <w:widowControl/>
              <w:spacing w:line="240" w:lineRule="atLeast"/>
              <w:jc w:val="left"/>
              <w:rPr>
                <w:rFonts w:ascii="仿宋_GB2312" w:hAnsi="宋体" w:eastAsia="仿宋_GB2312"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spacing w:line="240" w:lineRule="atLeast"/>
              <w:jc w:val="left"/>
              <w:rPr>
                <w:rFonts w:ascii="仿宋_GB2312" w:hAnsi="宋体" w:eastAsia="仿宋_GB2312" w:cs="宋体"/>
                <w:kern w:val="0"/>
                <w:sz w:val="24"/>
                <w:szCs w:val="24"/>
              </w:rPr>
            </w:pPr>
          </w:p>
        </w:tc>
        <w:tc>
          <w:tcPr>
            <w:tcW w:w="2627"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40" w:lineRule="atLeast"/>
              <w:jc w:val="left"/>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2．其他法律行政法规禁止公开</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6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w:t>
            </w:r>
          </w:p>
        </w:tc>
      </w:tr>
      <w:tr>
        <w:tblPrEx>
          <w:tblCellMar>
            <w:top w:w="0" w:type="dxa"/>
            <w:left w:w="0" w:type="dxa"/>
            <w:bottom w:w="0" w:type="dxa"/>
            <w:right w:w="0" w:type="dxa"/>
          </w:tblCellMar>
        </w:tblPrEx>
        <w:trPr>
          <w:trHeight w:val="419" w:hRule="atLeast"/>
          <w:jc w:val="center"/>
        </w:trPr>
        <w:tc>
          <w:tcPr>
            <w:tcW w:w="745" w:type="dxa"/>
            <w:vMerge w:val="continue"/>
            <w:tcBorders>
              <w:top w:val="nil"/>
              <w:left w:val="single" w:color="auto" w:sz="8" w:space="0"/>
              <w:bottom w:val="single" w:color="auto" w:sz="8" w:space="0"/>
              <w:right w:val="single" w:color="auto" w:sz="8" w:space="0"/>
            </w:tcBorders>
            <w:vAlign w:val="center"/>
          </w:tcPr>
          <w:p>
            <w:pPr>
              <w:widowControl/>
              <w:spacing w:line="240" w:lineRule="atLeast"/>
              <w:jc w:val="left"/>
              <w:rPr>
                <w:rFonts w:ascii="仿宋_GB2312" w:hAnsi="宋体" w:eastAsia="仿宋_GB2312"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spacing w:line="240" w:lineRule="atLeast"/>
              <w:jc w:val="left"/>
              <w:rPr>
                <w:rFonts w:ascii="仿宋_GB2312" w:hAnsi="宋体" w:eastAsia="仿宋_GB2312" w:cs="宋体"/>
                <w:kern w:val="0"/>
                <w:sz w:val="24"/>
                <w:szCs w:val="24"/>
              </w:rPr>
            </w:pPr>
          </w:p>
        </w:tc>
        <w:tc>
          <w:tcPr>
            <w:tcW w:w="2627"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40" w:lineRule="atLeast"/>
              <w:jc w:val="left"/>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3．危及“三安全一稳定”</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6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r>
      <w:tr>
        <w:tblPrEx>
          <w:tblCellMar>
            <w:top w:w="0" w:type="dxa"/>
            <w:left w:w="0" w:type="dxa"/>
            <w:bottom w:w="0" w:type="dxa"/>
            <w:right w:w="0" w:type="dxa"/>
          </w:tblCellMar>
        </w:tblPrEx>
        <w:trPr>
          <w:trHeight w:val="397" w:hRule="atLeast"/>
          <w:jc w:val="center"/>
        </w:trPr>
        <w:tc>
          <w:tcPr>
            <w:tcW w:w="745" w:type="dxa"/>
            <w:vMerge w:val="continue"/>
            <w:tcBorders>
              <w:top w:val="nil"/>
              <w:left w:val="single" w:color="auto" w:sz="8" w:space="0"/>
              <w:bottom w:val="single" w:color="auto" w:sz="8" w:space="0"/>
              <w:right w:val="single" w:color="auto" w:sz="8" w:space="0"/>
            </w:tcBorders>
            <w:vAlign w:val="center"/>
          </w:tcPr>
          <w:p>
            <w:pPr>
              <w:widowControl/>
              <w:spacing w:line="240" w:lineRule="atLeast"/>
              <w:jc w:val="left"/>
              <w:rPr>
                <w:rFonts w:ascii="仿宋_GB2312" w:hAnsi="宋体" w:eastAsia="仿宋_GB2312"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spacing w:line="240" w:lineRule="atLeast"/>
              <w:jc w:val="left"/>
              <w:rPr>
                <w:rFonts w:ascii="仿宋_GB2312" w:hAnsi="宋体" w:eastAsia="仿宋_GB2312" w:cs="宋体"/>
                <w:kern w:val="0"/>
                <w:sz w:val="24"/>
                <w:szCs w:val="24"/>
              </w:rPr>
            </w:pPr>
          </w:p>
        </w:tc>
        <w:tc>
          <w:tcPr>
            <w:tcW w:w="2627"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40" w:lineRule="atLeast"/>
              <w:jc w:val="left"/>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4．保护第三方合法权益</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6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r>
      <w:tr>
        <w:tblPrEx>
          <w:tblCellMar>
            <w:top w:w="0" w:type="dxa"/>
            <w:left w:w="0" w:type="dxa"/>
            <w:bottom w:w="0" w:type="dxa"/>
            <w:right w:w="0" w:type="dxa"/>
          </w:tblCellMar>
        </w:tblPrEx>
        <w:trPr>
          <w:trHeight w:val="416" w:hRule="atLeast"/>
          <w:jc w:val="center"/>
        </w:trPr>
        <w:tc>
          <w:tcPr>
            <w:tcW w:w="745" w:type="dxa"/>
            <w:vMerge w:val="continue"/>
            <w:tcBorders>
              <w:top w:val="nil"/>
              <w:left w:val="single" w:color="auto" w:sz="8" w:space="0"/>
              <w:bottom w:val="single" w:color="auto" w:sz="8" w:space="0"/>
              <w:right w:val="single" w:color="auto" w:sz="8" w:space="0"/>
            </w:tcBorders>
            <w:vAlign w:val="center"/>
          </w:tcPr>
          <w:p>
            <w:pPr>
              <w:widowControl/>
              <w:spacing w:line="240" w:lineRule="atLeast"/>
              <w:jc w:val="left"/>
              <w:rPr>
                <w:rFonts w:ascii="仿宋_GB2312" w:hAnsi="宋体" w:eastAsia="仿宋_GB2312"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spacing w:line="240" w:lineRule="atLeast"/>
              <w:jc w:val="left"/>
              <w:rPr>
                <w:rFonts w:ascii="仿宋_GB2312" w:hAnsi="宋体" w:eastAsia="仿宋_GB2312" w:cs="宋体"/>
                <w:kern w:val="0"/>
                <w:sz w:val="24"/>
                <w:szCs w:val="24"/>
              </w:rPr>
            </w:pPr>
          </w:p>
        </w:tc>
        <w:tc>
          <w:tcPr>
            <w:tcW w:w="2627"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40" w:lineRule="atLeast"/>
              <w:jc w:val="left"/>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5．属于三类内部事务信息</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6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r>
      <w:tr>
        <w:tblPrEx>
          <w:tblCellMar>
            <w:top w:w="0" w:type="dxa"/>
            <w:left w:w="0" w:type="dxa"/>
            <w:bottom w:w="0" w:type="dxa"/>
            <w:right w:w="0" w:type="dxa"/>
          </w:tblCellMar>
        </w:tblPrEx>
        <w:trPr>
          <w:trHeight w:val="409" w:hRule="atLeast"/>
          <w:jc w:val="center"/>
        </w:trPr>
        <w:tc>
          <w:tcPr>
            <w:tcW w:w="745" w:type="dxa"/>
            <w:vMerge w:val="continue"/>
            <w:tcBorders>
              <w:top w:val="nil"/>
              <w:left w:val="single" w:color="auto" w:sz="8" w:space="0"/>
              <w:bottom w:val="single" w:color="auto" w:sz="8" w:space="0"/>
              <w:right w:val="single" w:color="auto" w:sz="8" w:space="0"/>
            </w:tcBorders>
            <w:vAlign w:val="center"/>
          </w:tcPr>
          <w:p>
            <w:pPr>
              <w:widowControl/>
              <w:spacing w:line="240" w:lineRule="atLeast"/>
              <w:jc w:val="left"/>
              <w:rPr>
                <w:rFonts w:ascii="仿宋_GB2312" w:hAnsi="宋体" w:eastAsia="仿宋_GB2312"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spacing w:line="240" w:lineRule="atLeast"/>
              <w:jc w:val="left"/>
              <w:rPr>
                <w:rFonts w:ascii="仿宋_GB2312" w:hAnsi="宋体" w:eastAsia="仿宋_GB2312" w:cs="宋体"/>
                <w:kern w:val="0"/>
                <w:sz w:val="24"/>
                <w:szCs w:val="24"/>
              </w:rPr>
            </w:pPr>
          </w:p>
        </w:tc>
        <w:tc>
          <w:tcPr>
            <w:tcW w:w="2627"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40" w:lineRule="atLeast"/>
              <w:jc w:val="left"/>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6．属于四类过程性信息</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6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r>
      <w:tr>
        <w:tblPrEx>
          <w:tblCellMar>
            <w:top w:w="0" w:type="dxa"/>
            <w:left w:w="0" w:type="dxa"/>
            <w:bottom w:w="0" w:type="dxa"/>
            <w:right w:w="0" w:type="dxa"/>
          </w:tblCellMar>
        </w:tblPrEx>
        <w:trPr>
          <w:trHeight w:val="415" w:hRule="atLeast"/>
          <w:jc w:val="center"/>
        </w:trPr>
        <w:tc>
          <w:tcPr>
            <w:tcW w:w="745" w:type="dxa"/>
            <w:vMerge w:val="continue"/>
            <w:tcBorders>
              <w:top w:val="nil"/>
              <w:left w:val="single" w:color="auto" w:sz="8" w:space="0"/>
              <w:bottom w:val="single" w:color="auto" w:sz="8" w:space="0"/>
              <w:right w:val="single" w:color="auto" w:sz="8" w:space="0"/>
            </w:tcBorders>
            <w:vAlign w:val="center"/>
          </w:tcPr>
          <w:p>
            <w:pPr>
              <w:widowControl/>
              <w:spacing w:line="240" w:lineRule="atLeast"/>
              <w:jc w:val="left"/>
              <w:rPr>
                <w:rFonts w:ascii="仿宋_GB2312" w:hAnsi="宋体" w:eastAsia="仿宋_GB2312"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spacing w:line="240" w:lineRule="atLeast"/>
              <w:jc w:val="left"/>
              <w:rPr>
                <w:rFonts w:ascii="仿宋_GB2312" w:hAnsi="宋体" w:eastAsia="仿宋_GB2312" w:cs="宋体"/>
                <w:kern w:val="0"/>
                <w:sz w:val="24"/>
                <w:szCs w:val="24"/>
              </w:rPr>
            </w:pPr>
          </w:p>
        </w:tc>
        <w:tc>
          <w:tcPr>
            <w:tcW w:w="2627"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40" w:lineRule="atLeast"/>
              <w:jc w:val="left"/>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7．属于行政执法案卷</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6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w:t>
            </w:r>
          </w:p>
        </w:tc>
      </w:tr>
      <w:tr>
        <w:tblPrEx>
          <w:tblCellMar>
            <w:top w:w="0" w:type="dxa"/>
            <w:left w:w="0" w:type="dxa"/>
            <w:bottom w:w="0" w:type="dxa"/>
            <w:right w:w="0" w:type="dxa"/>
          </w:tblCellMar>
        </w:tblPrEx>
        <w:trPr>
          <w:trHeight w:val="421" w:hRule="atLeast"/>
          <w:jc w:val="center"/>
        </w:trPr>
        <w:tc>
          <w:tcPr>
            <w:tcW w:w="745" w:type="dxa"/>
            <w:vMerge w:val="continue"/>
            <w:tcBorders>
              <w:top w:val="nil"/>
              <w:left w:val="single" w:color="auto" w:sz="8" w:space="0"/>
              <w:bottom w:val="single" w:color="auto" w:sz="8" w:space="0"/>
              <w:right w:val="single" w:color="auto" w:sz="8" w:space="0"/>
            </w:tcBorders>
            <w:vAlign w:val="center"/>
          </w:tcPr>
          <w:p>
            <w:pPr>
              <w:widowControl/>
              <w:spacing w:line="240" w:lineRule="atLeast"/>
              <w:jc w:val="left"/>
              <w:rPr>
                <w:rFonts w:ascii="仿宋_GB2312" w:hAnsi="宋体" w:eastAsia="仿宋_GB2312"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spacing w:line="240" w:lineRule="atLeast"/>
              <w:jc w:val="left"/>
              <w:rPr>
                <w:rFonts w:ascii="仿宋_GB2312" w:hAnsi="宋体" w:eastAsia="仿宋_GB2312" w:cs="宋体"/>
                <w:kern w:val="0"/>
                <w:sz w:val="24"/>
                <w:szCs w:val="24"/>
              </w:rPr>
            </w:pPr>
          </w:p>
        </w:tc>
        <w:tc>
          <w:tcPr>
            <w:tcW w:w="2627"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40" w:lineRule="atLeast"/>
              <w:jc w:val="left"/>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8．属于行政查询事项</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6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r>
      <w:tr>
        <w:tblPrEx>
          <w:tblCellMar>
            <w:top w:w="0" w:type="dxa"/>
            <w:left w:w="0" w:type="dxa"/>
            <w:bottom w:w="0" w:type="dxa"/>
            <w:right w:w="0" w:type="dxa"/>
          </w:tblCellMar>
        </w:tblPrEx>
        <w:trPr>
          <w:trHeight w:val="412" w:hRule="atLeast"/>
          <w:jc w:val="center"/>
        </w:trPr>
        <w:tc>
          <w:tcPr>
            <w:tcW w:w="745" w:type="dxa"/>
            <w:vMerge w:val="continue"/>
            <w:tcBorders>
              <w:top w:val="nil"/>
              <w:left w:val="single" w:color="auto" w:sz="8" w:space="0"/>
              <w:bottom w:val="single" w:color="auto" w:sz="8" w:space="0"/>
              <w:right w:val="single" w:color="auto" w:sz="8" w:space="0"/>
            </w:tcBorders>
            <w:vAlign w:val="center"/>
          </w:tcPr>
          <w:p>
            <w:pPr>
              <w:widowControl/>
              <w:spacing w:line="240" w:lineRule="atLeast"/>
              <w:jc w:val="left"/>
              <w:rPr>
                <w:rFonts w:ascii="仿宋_GB2312" w:hAnsi="宋体" w:eastAsia="仿宋_GB2312" w:cs="宋体"/>
                <w:kern w:val="0"/>
                <w:sz w:val="24"/>
                <w:szCs w:val="24"/>
              </w:rPr>
            </w:pPr>
          </w:p>
        </w:tc>
        <w:tc>
          <w:tcPr>
            <w:tcW w:w="161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left"/>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（四）无法提供</w:t>
            </w:r>
          </w:p>
        </w:tc>
        <w:tc>
          <w:tcPr>
            <w:tcW w:w="2627"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40" w:lineRule="atLeast"/>
              <w:jc w:val="left"/>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1．本机关不掌握相关政府信息</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6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30</w:t>
            </w:r>
          </w:p>
        </w:tc>
      </w:tr>
      <w:tr>
        <w:tblPrEx>
          <w:tblCellMar>
            <w:top w:w="0" w:type="dxa"/>
            <w:left w:w="0" w:type="dxa"/>
            <w:bottom w:w="0" w:type="dxa"/>
            <w:right w:w="0" w:type="dxa"/>
          </w:tblCellMar>
        </w:tblPrEx>
        <w:trPr>
          <w:trHeight w:val="418" w:hRule="atLeast"/>
          <w:jc w:val="center"/>
        </w:trPr>
        <w:tc>
          <w:tcPr>
            <w:tcW w:w="745" w:type="dxa"/>
            <w:vMerge w:val="continue"/>
            <w:tcBorders>
              <w:top w:val="nil"/>
              <w:left w:val="single" w:color="auto" w:sz="8" w:space="0"/>
              <w:bottom w:val="single" w:color="auto" w:sz="8" w:space="0"/>
              <w:right w:val="single" w:color="auto" w:sz="8" w:space="0"/>
            </w:tcBorders>
            <w:vAlign w:val="center"/>
          </w:tcPr>
          <w:p>
            <w:pPr>
              <w:widowControl/>
              <w:spacing w:line="240" w:lineRule="atLeast"/>
              <w:jc w:val="left"/>
              <w:rPr>
                <w:rFonts w:ascii="仿宋_GB2312" w:hAnsi="宋体" w:eastAsia="仿宋_GB2312"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spacing w:line="240" w:lineRule="atLeast"/>
              <w:jc w:val="left"/>
              <w:rPr>
                <w:rFonts w:ascii="仿宋_GB2312" w:hAnsi="宋体" w:eastAsia="仿宋_GB2312" w:cs="宋体"/>
                <w:kern w:val="0"/>
                <w:sz w:val="24"/>
                <w:szCs w:val="24"/>
              </w:rPr>
            </w:pPr>
          </w:p>
        </w:tc>
        <w:tc>
          <w:tcPr>
            <w:tcW w:w="2627"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40" w:lineRule="atLeast"/>
              <w:jc w:val="left"/>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2．没有现成信息需要另行制作</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6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r>
      <w:tr>
        <w:tblPrEx>
          <w:tblCellMar>
            <w:top w:w="0" w:type="dxa"/>
            <w:left w:w="0" w:type="dxa"/>
            <w:bottom w:w="0" w:type="dxa"/>
            <w:right w:w="0" w:type="dxa"/>
          </w:tblCellMar>
        </w:tblPrEx>
        <w:trPr>
          <w:jc w:val="center"/>
        </w:trPr>
        <w:tc>
          <w:tcPr>
            <w:tcW w:w="745" w:type="dxa"/>
            <w:vMerge w:val="continue"/>
            <w:tcBorders>
              <w:top w:val="nil"/>
              <w:left w:val="single" w:color="auto" w:sz="8" w:space="0"/>
              <w:bottom w:val="single" w:color="auto" w:sz="8" w:space="0"/>
              <w:right w:val="single" w:color="auto" w:sz="8" w:space="0"/>
            </w:tcBorders>
            <w:vAlign w:val="center"/>
          </w:tcPr>
          <w:p>
            <w:pPr>
              <w:widowControl/>
              <w:spacing w:line="240" w:lineRule="atLeast"/>
              <w:jc w:val="left"/>
              <w:rPr>
                <w:rFonts w:ascii="仿宋_GB2312" w:hAnsi="宋体" w:eastAsia="仿宋_GB2312"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spacing w:line="240" w:lineRule="atLeast"/>
              <w:jc w:val="left"/>
              <w:rPr>
                <w:rFonts w:ascii="仿宋_GB2312" w:hAnsi="宋体" w:eastAsia="仿宋_GB2312" w:cs="宋体"/>
                <w:kern w:val="0"/>
                <w:sz w:val="24"/>
                <w:szCs w:val="24"/>
              </w:rPr>
            </w:pPr>
          </w:p>
        </w:tc>
        <w:tc>
          <w:tcPr>
            <w:tcW w:w="2627"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40" w:lineRule="atLeast"/>
              <w:jc w:val="left"/>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3．补正后申请内容仍不明确</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6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r>
      <w:tr>
        <w:tblPrEx>
          <w:tblCellMar>
            <w:top w:w="0" w:type="dxa"/>
            <w:left w:w="0" w:type="dxa"/>
            <w:bottom w:w="0" w:type="dxa"/>
            <w:right w:w="0" w:type="dxa"/>
          </w:tblCellMar>
        </w:tblPrEx>
        <w:trPr>
          <w:trHeight w:val="373" w:hRule="atLeast"/>
          <w:jc w:val="center"/>
        </w:trPr>
        <w:tc>
          <w:tcPr>
            <w:tcW w:w="745" w:type="dxa"/>
            <w:vMerge w:val="continue"/>
            <w:tcBorders>
              <w:top w:val="nil"/>
              <w:left w:val="single" w:color="auto" w:sz="8" w:space="0"/>
              <w:bottom w:val="single" w:color="auto" w:sz="8" w:space="0"/>
              <w:right w:val="single" w:color="auto" w:sz="8" w:space="0"/>
            </w:tcBorders>
            <w:vAlign w:val="center"/>
          </w:tcPr>
          <w:p>
            <w:pPr>
              <w:widowControl/>
              <w:spacing w:line="240" w:lineRule="atLeast"/>
              <w:jc w:val="left"/>
              <w:rPr>
                <w:rFonts w:ascii="仿宋_GB2312" w:hAnsi="宋体" w:eastAsia="仿宋_GB2312" w:cs="宋体"/>
                <w:kern w:val="0"/>
                <w:sz w:val="24"/>
                <w:szCs w:val="24"/>
              </w:rPr>
            </w:pPr>
          </w:p>
        </w:tc>
        <w:tc>
          <w:tcPr>
            <w:tcW w:w="161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left"/>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（五）不予处理</w:t>
            </w:r>
          </w:p>
        </w:tc>
        <w:tc>
          <w:tcPr>
            <w:tcW w:w="2627"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40" w:lineRule="atLeast"/>
              <w:jc w:val="left"/>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1．信访举报投诉类申请</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6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r>
      <w:tr>
        <w:tblPrEx>
          <w:tblCellMar>
            <w:top w:w="0" w:type="dxa"/>
            <w:left w:w="0" w:type="dxa"/>
            <w:bottom w:w="0" w:type="dxa"/>
            <w:right w:w="0" w:type="dxa"/>
          </w:tblCellMar>
        </w:tblPrEx>
        <w:trPr>
          <w:jc w:val="center"/>
        </w:trPr>
        <w:tc>
          <w:tcPr>
            <w:tcW w:w="745" w:type="dxa"/>
            <w:vMerge w:val="continue"/>
            <w:tcBorders>
              <w:top w:val="nil"/>
              <w:left w:val="single" w:color="auto" w:sz="8" w:space="0"/>
              <w:bottom w:val="single" w:color="auto" w:sz="8" w:space="0"/>
              <w:right w:val="single" w:color="auto" w:sz="8" w:space="0"/>
            </w:tcBorders>
            <w:vAlign w:val="center"/>
          </w:tcPr>
          <w:p>
            <w:pPr>
              <w:widowControl/>
              <w:spacing w:line="240" w:lineRule="atLeast"/>
              <w:jc w:val="left"/>
              <w:rPr>
                <w:rFonts w:ascii="仿宋_GB2312" w:hAnsi="宋体" w:eastAsia="仿宋_GB2312"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spacing w:line="240" w:lineRule="atLeast"/>
              <w:jc w:val="left"/>
              <w:rPr>
                <w:rFonts w:ascii="仿宋_GB2312" w:hAnsi="宋体" w:eastAsia="仿宋_GB2312" w:cs="宋体"/>
                <w:kern w:val="0"/>
                <w:sz w:val="24"/>
                <w:szCs w:val="24"/>
              </w:rPr>
            </w:pPr>
          </w:p>
        </w:tc>
        <w:tc>
          <w:tcPr>
            <w:tcW w:w="2627"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40" w:lineRule="atLeast"/>
              <w:jc w:val="left"/>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2．重复申请</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6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r>
      <w:tr>
        <w:tblPrEx>
          <w:tblCellMar>
            <w:top w:w="0" w:type="dxa"/>
            <w:left w:w="0" w:type="dxa"/>
            <w:bottom w:w="0" w:type="dxa"/>
            <w:right w:w="0" w:type="dxa"/>
          </w:tblCellMar>
        </w:tblPrEx>
        <w:trPr>
          <w:trHeight w:val="383" w:hRule="atLeast"/>
          <w:jc w:val="center"/>
        </w:trPr>
        <w:tc>
          <w:tcPr>
            <w:tcW w:w="745" w:type="dxa"/>
            <w:vMerge w:val="continue"/>
            <w:tcBorders>
              <w:top w:val="nil"/>
              <w:left w:val="single" w:color="auto" w:sz="8" w:space="0"/>
              <w:bottom w:val="single" w:color="auto" w:sz="8" w:space="0"/>
              <w:right w:val="single" w:color="auto" w:sz="8" w:space="0"/>
            </w:tcBorders>
            <w:vAlign w:val="center"/>
          </w:tcPr>
          <w:p>
            <w:pPr>
              <w:widowControl/>
              <w:spacing w:line="240" w:lineRule="atLeast"/>
              <w:jc w:val="left"/>
              <w:rPr>
                <w:rFonts w:ascii="仿宋_GB2312" w:hAnsi="宋体" w:eastAsia="仿宋_GB2312"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spacing w:line="240" w:lineRule="atLeast"/>
              <w:jc w:val="left"/>
              <w:rPr>
                <w:rFonts w:ascii="仿宋_GB2312" w:hAnsi="宋体" w:eastAsia="仿宋_GB2312" w:cs="宋体"/>
                <w:kern w:val="0"/>
                <w:sz w:val="24"/>
                <w:szCs w:val="24"/>
              </w:rPr>
            </w:pPr>
          </w:p>
        </w:tc>
        <w:tc>
          <w:tcPr>
            <w:tcW w:w="2627"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40" w:lineRule="atLeast"/>
              <w:jc w:val="left"/>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3．要求提供公开出版物</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6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r>
      <w:tr>
        <w:tblPrEx>
          <w:tblCellMar>
            <w:top w:w="0" w:type="dxa"/>
            <w:left w:w="0" w:type="dxa"/>
            <w:bottom w:w="0" w:type="dxa"/>
            <w:right w:w="0" w:type="dxa"/>
          </w:tblCellMar>
        </w:tblPrEx>
        <w:trPr>
          <w:trHeight w:val="416" w:hRule="atLeast"/>
          <w:jc w:val="center"/>
        </w:trPr>
        <w:tc>
          <w:tcPr>
            <w:tcW w:w="745" w:type="dxa"/>
            <w:vMerge w:val="continue"/>
            <w:tcBorders>
              <w:top w:val="nil"/>
              <w:left w:val="single" w:color="auto" w:sz="8" w:space="0"/>
              <w:bottom w:val="single" w:color="auto" w:sz="8" w:space="0"/>
              <w:right w:val="single" w:color="auto" w:sz="8" w:space="0"/>
            </w:tcBorders>
            <w:vAlign w:val="center"/>
          </w:tcPr>
          <w:p>
            <w:pPr>
              <w:widowControl/>
              <w:spacing w:line="240" w:lineRule="atLeast"/>
              <w:jc w:val="left"/>
              <w:rPr>
                <w:rFonts w:ascii="仿宋_GB2312" w:hAnsi="宋体" w:eastAsia="仿宋_GB2312"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spacing w:line="240" w:lineRule="atLeast"/>
              <w:jc w:val="left"/>
              <w:rPr>
                <w:rFonts w:ascii="仿宋_GB2312" w:hAnsi="宋体" w:eastAsia="仿宋_GB2312" w:cs="宋体"/>
                <w:kern w:val="0"/>
                <w:sz w:val="24"/>
                <w:szCs w:val="24"/>
              </w:rPr>
            </w:pPr>
          </w:p>
        </w:tc>
        <w:tc>
          <w:tcPr>
            <w:tcW w:w="2627"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40" w:lineRule="atLeast"/>
              <w:jc w:val="left"/>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4．无正当理由大量反复申请</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6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r>
      <w:tr>
        <w:tblPrEx>
          <w:tblCellMar>
            <w:top w:w="0" w:type="dxa"/>
            <w:left w:w="0" w:type="dxa"/>
            <w:bottom w:w="0" w:type="dxa"/>
            <w:right w:w="0" w:type="dxa"/>
          </w:tblCellMar>
        </w:tblPrEx>
        <w:trPr>
          <w:jc w:val="center"/>
        </w:trPr>
        <w:tc>
          <w:tcPr>
            <w:tcW w:w="745" w:type="dxa"/>
            <w:vMerge w:val="continue"/>
            <w:tcBorders>
              <w:top w:val="nil"/>
              <w:left w:val="single" w:color="auto" w:sz="8" w:space="0"/>
              <w:bottom w:val="single" w:color="auto" w:sz="8" w:space="0"/>
              <w:right w:val="single" w:color="auto" w:sz="8" w:space="0"/>
            </w:tcBorders>
            <w:vAlign w:val="center"/>
          </w:tcPr>
          <w:p>
            <w:pPr>
              <w:widowControl/>
              <w:spacing w:line="240" w:lineRule="atLeast"/>
              <w:jc w:val="left"/>
              <w:rPr>
                <w:rFonts w:ascii="仿宋_GB2312" w:hAnsi="宋体" w:eastAsia="仿宋_GB2312"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spacing w:line="240" w:lineRule="atLeast"/>
              <w:jc w:val="left"/>
              <w:rPr>
                <w:rFonts w:ascii="仿宋_GB2312" w:hAnsi="宋体" w:eastAsia="仿宋_GB2312" w:cs="宋体"/>
                <w:kern w:val="0"/>
                <w:sz w:val="24"/>
                <w:szCs w:val="24"/>
              </w:rPr>
            </w:pPr>
          </w:p>
        </w:tc>
        <w:tc>
          <w:tcPr>
            <w:tcW w:w="2627"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40" w:lineRule="atLeast"/>
              <w:ind w:left="180" w:hanging="180"/>
              <w:jc w:val="left"/>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5．要求行政机关确认或重新出具已获取信息</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6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r>
      <w:tr>
        <w:tblPrEx>
          <w:tblCellMar>
            <w:top w:w="0" w:type="dxa"/>
            <w:left w:w="0" w:type="dxa"/>
            <w:bottom w:w="0" w:type="dxa"/>
            <w:right w:w="0" w:type="dxa"/>
          </w:tblCellMar>
        </w:tblPrEx>
        <w:trPr>
          <w:trHeight w:val="464" w:hRule="atLeast"/>
          <w:jc w:val="center"/>
        </w:trPr>
        <w:tc>
          <w:tcPr>
            <w:tcW w:w="745" w:type="dxa"/>
            <w:vMerge w:val="restart"/>
            <w:tcBorders>
              <w:top w:val="nil"/>
              <w:left w:val="single" w:color="auto" w:sz="8" w:space="0"/>
              <w:right w:val="single" w:color="auto" w:sz="8" w:space="0"/>
            </w:tcBorders>
            <w:tcMar>
              <w:top w:w="0" w:type="dxa"/>
              <w:left w:w="108" w:type="dxa"/>
              <w:bottom w:w="0" w:type="dxa"/>
              <w:right w:w="108" w:type="dxa"/>
            </w:tcMar>
          </w:tcPr>
          <w:p>
            <w:pPr>
              <w:widowControl/>
              <w:spacing w:line="240" w:lineRule="atLeast"/>
              <w:jc w:val="left"/>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 </w:t>
            </w:r>
          </w:p>
        </w:tc>
        <w:tc>
          <w:tcPr>
            <w:tcW w:w="1612" w:type="dxa"/>
            <w:vMerge w:val="restart"/>
            <w:tcBorders>
              <w:top w:val="nil"/>
              <w:left w:val="nil"/>
              <w:right w:val="single" w:color="auto" w:sz="8" w:space="0"/>
            </w:tcBorders>
            <w:tcMar>
              <w:top w:w="0" w:type="dxa"/>
              <w:left w:w="108" w:type="dxa"/>
              <w:bottom w:w="0" w:type="dxa"/>
              <w:right w:w="108" w:type="dxa"/>
            </w:tcMar>
            <w:vAlign w:val="center"/>
          </w:tcPr>
          <w:p>
            <w:pPr>
              <w:widowControl/>
              <w:spacing w:line="240" w:lineRule="atLeast"/>
              <w:jc w:val="left"/>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（六）其他处理</w:t>
            </w:r>
          </w:p>
        </w:tc>
        <w:tc>
          <w:tcPr>
            <w:tcW w:w="26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1.申请人无正当理由逾期不补正、行政机关不再处理其政府信息公开申请</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6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r>
      <w:tr>
        <w:tblPrEx>
          <w:tblCellMar>
            <w:top w:w="0" w:type="dxa"/>
            <w:left w:w="0" w:type="dxa"/>
            <w:bottom w:w="0" w:type="dxa"/>
            <w:right w:w="0" w:type="dxa"/>
          </w:tblCellMar>
        </w:tblPrEx>
        <w:trPr>
          <w:trHeight w:val="464" w:hRule="atLeast"/>
          <w:jc w:val="center"/>
        </w:trPr>
        <w:tc>
          <w:tcPr>
            <w:tcW w:w="745" w:type="dxa"/>
            <w:vMerge w:val="continue"/>
            <w:tcBorders>
              <w:left w:val="single" w:color="auto" w:sz="8" w:space="0"/>
              <w:right w:val="single" w:color="auto" w:sz="8" w:space="0"/>
            </w:tcBorders>
            <w:tcMar>
              <w:top w:w="0" w:type="dxa"/>
              <w:left w:w="108" w:type="dxa"/>
              <w:bottom w:w="0" w:type="dxa"/>
              <w:right w:w="108" w:type="dxa"/>
            </w:tcMar>
          </w:tcPr>
          <w:p>
            <w:pPr>
              <w:widowControl/>
              <w:spacing w:line="240" w:lineRule="atLeast"/>
              <w:jc w:val="left"/>
              <w:rPr>
                <w:rFonts w:ascii="仿宋_GB2312" w:hAnsi="宋体" w:eastAsia="仿宋_GB2312" w:cs="宋体"/>
                <w:color w:val="000000"/>
                <w:kern w:val="0"/>
                <w:sz w:val="24"/>
                <w:szCs w:val="24"/>
              </w:rPr>
            </w:pPr>
          </w:p>
        </w:tc>
        <w:tc>
          <w:tcPr>
            <w:tcW w:w="1612" w:type="dxa"/>
            <w:vMerge w:val="continue"/>
            <w:tcBorders>
              <w:left w:val="nil"/>
              <w:right w:val="single" w:color="auto" w:sz="8" w:space="0"/>
            </w:tcBorders>
            <w:tcMar>
              <w:top w:w="0" w:type="dxa"/>
              <w:left w:w="108" w:type="dxa"/>
              <w:bottom w:w="0" w:type="dxa"/>
              <w:right w:w="108" w:type="dxa"/>
            </w:tcMar>
            <w:vAlign w:val="center"/>
          </w:tcPr>
          <w:p>
            <w:pPr>
              <w:widowControl/>
              <w:spacing w:line="240" w:lineRule="atLeast"/>
              <w:jc w:val="left"/>
              <w:rPr>
                <w:rFonts w:ascii="仿宋_GB2312" w:hAnsi="宋体" w:eastAsia="仿宋_GB2312" w:cs="宋体"/>
                <w:color w:val="000000"/>
                <w:kern w:val="0"/>
                <w:sz w:val="24"/>
                <w:szCs w:val="24"/>
              </w:rPr>
            </w:pPr>
          </w:p>
        </w:tc>
        <w:tc>
          <w:tcPr>
            <w:tcW w:w="26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2.申请人逾期未按收费通知要求缴纳费用、行政机关不再处理其政府信息公开申请</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6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r>
      <w:tr>
        <w:tblPrEx>
          <w:tblCellMar>
            <w:top w:w="0" w:type="dxa"/>
            <w:left w:w="0" w:type="dxa"/>
            <w:bottom w:w="0" w:type="dxa"/>
            <w:right w:w="0" w:type="dxa"/>
          </w:tblCellMar>
        </w:tblPrEx>
        <w:trPr>
          <w:trHeight w:val="464" w:hRule="atLeast"/>
          <w:jc w:val="center"/>
        </w:trPr>
        <w:tc>
          <w:tcPr>
            <w:tcW w:w="745" w:type="dxa"/>
            <w:vMerge w:val="continue"/>
            <w:tcBorders>
              <w:left w:val="single" w:color="auto" w:sz="8" w:space="0"/>
              <w:bottom w:val="single" w:color="auto" w:sz="8" w:space="0"/>
              <w:right w:val="single" w:color="auto" w:sz="8" w:space="0"/>
            </w:tcBorders>
            <w:tcMar>
              <w:top w:w="0" w:type="dxa"/>
              <w:left w:w="108" w:type="dxa"/>
              <w:bottom w:w="0" w:type="dxa"/>
              <w:right w:w="108" w:type="dxa"/>
            </w:tcMar>
          </w:tcPr>
          <w:p>
            <w:pPr>
              <w:widowControl/>
              <w:spacing w:line="240" w:lineRule="atLeast"/>
              <w:jc w:val="left"/>
              <w:rPr>
                <w:rFonts w:ascii="仿宋_GB2312" w:hAnsi="宋体" w:eastAsia="仿宋_GB2312" w:cs="宋体"/>
                <w:color w:val="000000"/>
                <w:kern w:val="0"/>
                <w:sz w:val="24"/>
                <w:szCs w:val="24"/>
              </w:rPr>
            </w:pPr>
          </w:p>
        </w:tc>
        <w:tc>
          <w:tcPr>
            <w:tcW w:w="1612" w:type="dxa"/>
            <w:vMerge w:val="continue"/>
            <w:tcBorders>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left"/>
              <w:rPr>
                <w:rFonts w:ascii="仿宋_GB2312" w:hAnsi="宋体" w:eastAsia="仿宋_GB2312" w:cs="宋体"/>
                <w:color w:val="000000"/>
                <w:kern w:val="0"/>
                <w:sz w:val="24"/>
                <w:szCs w:val="24"/>
              </w:rPr>
            </w:pPr>
          </w:p>
        </w:tc>
        <w:tc>
          <w:tcPr>
            <w:tcW w:w="26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3.其他</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6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w:t>
            </w:r>
          </w:p>
        </w:tc>
      </w:tr>
      <w:tr>
        <w:tblPrEx>
          <w:tblCellMar>
            <w:top w:w="0" w:type="dxa"/>
            <w:left w:w="0" w:type="dxa"/>
            <w:bottom w:w="0" w:type="dxa"/>
            <w:right w:w="0" w:type="dxa"/>
          </w:tblCellMar>
        </w:tblPrEx>
        <w:trPr>
          <w:trHeight w:val="415" w:hRule="atLeast"/>
          <w:jc w:val="center"/>
        </w:trPr>
        <w:tc>
          <w:tcPr>
            <w:tcW w:w="74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240" w:lineRule="atLeast"/>
              <w:jc w:val="left"/>
              <w:rPr>
                <w:rFonts w:ascii="仿宋_GB2312" w:hAnsi="宋体" w:eastAsia="仿宋_GB2312" w:cs="宋体"/>
                <w:kern w:val="0"/>
                <w:sz w:val="24"/>
                <w:szCs w:val="24"/>
              </w:rPr>
            </w:pPr>
          </w:p>
        </w:tc>
        <w:tc>
          <w:tcPr>
            <w:tcW w:w="4239"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left"/>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（七）总计</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42</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6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42</w:t>
            </w:r>
          </w:p>
        </w:tc>
      </w:tr>
      <w:tr>
        <w:tblPrEx>
          <w:tblCellMar>
            <w:top w:w="0" w:type="dxa"/>
            <w:left w:w="0" w:type="dxa"/>
            <w:bottom w:w="0" w:type="dxa"/>
            <w:right w:w="0" w:type="dxa"/>
          </w:tblCellMar>
        </w:tblPrEx>
        <w:trPr>
          <w:jc w:val="center"/>
        </w:trPr>
        <w:tc>
          <w:tcPr>
            <w:tcW w:w="4984"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left"/>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四、结转下年度继续办理</w:t>
            </w:r>
          </w:p>
        </w:tc>
        <w:tc>
          <w:tcPr>
            <w:tcW w:w="62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6</w:t>
            </w:r>
          </w:p>
        </w:tc>
        <w:tc>
          <w:tcPr>
            <w:tcW w:w="70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68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6</w:t>
            </w:r>
          </w:p>
        </w:tc>
      </w:tr>
    </w:tbl>
    <w:p>
      <w:pPr>
        <w:widowControl/>
        <w:shd w:val="clear" w:color="auto" w:fill="FFFFFF"/>
        <w:spacing w:line="560" w:lineRule="exact"/>
        <w:jc w:val="left"/>
        <w:rPr>
          <w:rFonts w:ascii="微软雅黑" w:hAnsi="微软雅黑" w:eastAsia="微软雅黑" w:cs="宋体"/>
          <w:color w:val="000000"/>
          <w:kern w:val="0"/>
          <w:sz w:val="32"/>
          <w:szCs w:val="32"/>
        </w:rPr>
      </w:pPr>
      <w:r>
        <w:rPr>
          <w:rFonts w:hint="eastAsia" w:ascii="黑体" w:hAnsi="黑体" w:eastAsia="黑体" w:cs="宋体"/>
          <w:color w:val="000000"/>
          <w:kern w:val="0"/>
          <w:sz w:val="32"/>
          <w:szCs w:val="32"/>
        </w:rPr>
        <w:t>四、政府信息公开行政复议、行政诉讼情况</w:t>
      </w:r>
    </w:p>
    <w:tbl>
      <w:tblPr>
        <w:tblStyle w:val="6"/>
        <w:tblW w:w="10203" w:type="dxa"/>
        <w:jc w:val="center"/>
        <w:tblLayout w:type="autofit"/>
        <w:tblCellMar>
          <w:top w:w="0" w:type="dxa"/>
          <w:left w:w="0" w:type="dxa"/>
          <w:bottom w:w="0" w:type="dxa"/>
          <w:right w:w="0" w:type="dxa"/>
        </w:tblCellMar>
      </w:tblPr>
      <w:tblGrid>
        <w:gridCol w:w="701"/>
        <w:gridCol w:w="700"/>
        <w:gridCol w:w="701"/>
        <w:gridCol w:w="735"/>
        <w:gridCol w:w="522"/>
        <w:gridCol w:w="709"/>
        <w:gridCol w:w="709"/>
        <w:gridCol w:w="709"/>
        <w:gridCol w:w="708"/>
        <w:gridCol w:w="571"/>
        <w:gridCol w:w="833"/>
        <w:gridCol w:w="711"/>
        <w:gridCol w:w="723"/>
        <w:gridCol w:w="709"/>
        <w:gridCol w:w="462"/>
      </w:tblGrid>
      <w:tr>
        <w:tblPrEx>
          <w:tblCellMar>
            <w:top w:w="0" w:type="dxa"/>
            <w:left w:w="0" w:type="dxa"/>
            <w:bottom w:w="0" w:type="dxa"/>
            <w:right w:w="0" w:type="dxa"/>
          </w:tblCellMar>
        </w:tblPrEx>
        <w:trPr>
          <w:trHeight w:val="472" w:hRule="atLeast"/>
          <w:jc w:val="center"/>
        </w:trPr>
        <w:tc>
          <w:tcPr>
            <w:tcW w:w="3359"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hint="eastAsia" w:ascii="仿宋_GB2312" w:hAnsi="宋体" w:eastAsia="仿宋_GB2312" w:cs="宋体"/>
                <w:color w:val="000000"/>
                <w:kern w:val="0"/>
                <w:sz w:val="24"/>
                <w:szCs w:val="24"/>
              </w:rPr>
              <w:t>行政复议</w:t>
            </w:r>
          </w:p>
        </w:tc>
        <w:tc>
          <w:tcPr>
            <w:tcW w:w="6844"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hint="eastAsia" w:ascii="仿宋_GB2312" w:hAnsi="宋体" w:eastAsia="仿宋_GB2312" w:cs="宋体"/>
                <w:color w:val="000000"/>
                <w:kern w:val="0"/>
                <w:sz w:val="24"/>
                <w:szCs w:val="24"/>
              </w:rPr>
              <w:t>行政诉讼</w:t>
            </w:r>
          </w:p>
        </w:tc>
      </w:tr>
      <w:tr>
        <w:tblPrEx>
          <w:tblCellMar>
            <w:top w:w="0" w:type="dxa"/>
            <w:left w:w="0" w:type="dxa"/>
            <w:bottom w:w="0" w:type="dxa"/>
            <w:right w:w="0" w:type="dxa"/>
          </w:tblCellMar>
        </w:tblPrEx>
        <w:trPr>
          <w:trHeight w:val="563" w:hRule="atLeast"/>
          <w:jc w:val="center"/>
        </w:trPr>
        <w:tc>
          <w:tcPr>
            <w:tcW w:w="70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hint="eastAsia" w:ascii="仿宋_GB2312" w:hAnsi="宋体" w:eastAsia="仿宋_GB2312" w:cs="宋体"/>
                <w:color w:val="000000"/>
                <w:kern w:val="0"/>
                <w:sz w:val="24"/>
                <w:szCs w:val="24"/>
              </w:rPr>
              <w:t>结果维持</w:t>
            </w:r>
          </w:p>
        </w:tc>
        <w:tc>
          <w:tcPr>
            <w:tcW w:w="70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hint="eastAsia" w:ascii="仿宋_GB2312" w:hAnsi="宋体" w:eastAsia="仿宋_GB2312" w:cs="宋体"/>
                <w:color w:val="000000"/>
                <w:kern w:val="0"/>
                <w:sz w:val="24"/>
                <w:szCs w:val="24"/>
              </w:rPr>
              <w:t>结果纠正</w:t>
            </w:r>
          </w:p>
        </w:tc>
        <w:tc>
          <w:tcPr>
            <w:tcW w:w="701"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hint="eastAsia" w:ascii="仿宋_GB2312" w:hAnsi="宋体" w:eastAsia="仿宋_GB2312" w:cs="宋体"/>
                <w:color w:val="000000"/>
                <w:kern w:val="0"/>
                <w:sz w:val="24"/>
                <w:szCs w:val="24"/>
              </w:rPr>
              <w:t>其他结果</w:t>
            </w:r>
          </w:p>
        </w:tc>
        <w:tc>
          <w:tcPr>
            <w:tcW w:w="735"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rPr>
                <w:rFonts w:ascii="宋体" w:hAnsi="宋体" w:eastAsia="宋体" w:cs="宋体"/>
                <w:kern w:val="0"/>
                <w:sz w:val="24"/>
                <w:szCs w:val="24"/>
              </w:rPr>
            </w:pPr>
            <w:r>
              <w:rPr>
                <w:rFonts w:hint="eastAsia" w:ascii="仿宋_GB2312" w:hAnsi="宋体" w:eastAsia="仿宋_GB2312" w:cs="宋体"/>
                <w:color w:val="000000"/>
                <w:kern w:val="0"/>
                <w:sz w:val="24"/>
                <w:szCs w:val="24"/>
              </w:rPr>
              <w:t>尚未审结</w:t>
            </w:r>
          </w:p>
        </w:tc>
        <w:tc>
          <w:tcPr>
            <w:tcW w:w="52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hint="eastAsia" w:ascii="仿宋_GB2312" w:hAnsi="宋体" w:eastAsia="仿宋_GB2312" w:cs="宋体"/>
                <w:color w:val="000000"/>
                <w:kern w:val="0"/>
                <w:sz w:val="24"/>
                <w:szCs w:val="24"/>
              </w:rPr>
              <w:t>总计</w:t>
            </w:r>
          </w:p>
        </w:tc>
        <w:tc>
          <w:tcPr>
            <w:tcW w:w="3406"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hint="eastAsia" w:ascii="仿宋_GB2312" w:hAnsi="宋体" w:eastAsia="仿宋_GB2312" w:cs="宋体"/>
                <w:color w:val="000000"/>
                <w:kern w:val="0"/>
                <w:sz w:val="24"/>
                <w:szCs w:val="24"/>
              </w:rPr>
              <w:t>未经复议直接起诉</w:t>
            </w:r>
          </w:p>
        </w:tc>
        <w:tc>
          <w:tcPr>
            <w:tcW w:w="3438"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hint="eastAsia" w:ascii="仿宋_GB2312" w:hAnsi="宋体" w:eastAsia="仿宋_GB2312" w:cs="宋体"/>
                <w:color w:val="000000"/>
                <w:kern w:val="0"/>
                <w:sz w:val="24"/>
                <w:szCs w:val="24"/>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240" w:lineRule="atLeast"/>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spacing w:line="240" w:lineRule="atLeast"/>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spacing w:line="240" w:lineRule="atLeast"/>
              <w:jc w:val="left"/>
              <w:rPr>
                <w:rFonts w:ascii="宋体" w:hAnsi="宋体" w:eastAsia="宋体" w:cs="宋体"/>
                <w:kern w:val="0"/>
                <w:sz w:val="24"/>
                <w:szCs w:val="24"/>
              </w:rPr>
            </w:pPr>
          </w:p>
        </w:tc>
        <w:tc>
          <w:tcPr>
            <w:tcW w:w="735" w:type="dxa"/>
            <w:vMerge w:val="continue"/>
            <w:tcBorders>
              <w:top w:val="nil"/>
              <w:left w:val="nil"/>
              <w:bottom w:val="single" w:color="auto" w:sz="8" w:space="0"/>
              <w:right w:val="single" w:color="auto" w:sz="8" w:space="0"/>
            </w:tcBorders>
            <w:vAlign w:val="center"/>
          </w:tcPr>
          <w:p>
            <w:pPr>
              <w:widowControl/>
              <w:spacing w:line="240" w:lineRule="atLeast"/>
              <w:jc w:val="left"/>
              <w:rPr>
                <w:rFonts w:ascii="宋体" w:hAnsi="宋体" w:eastAsia="宋体" w:cs="宋体"/>
                <w:kern w:val="0"/>
                <w:sz w:val="24"/>
                <w:szCs w:val="24"/>
              </w:rPr>
            </w:pPr>
          </w:p>
        </w:tc>
        <w:tc>
          <w:tcPr>
            <w:tcW w:w="522" w:type="dxa"/>
            <w:vMerge w:val="continue"/>
            <w:tcBorders>
              <w:top w:val="nil"/>
              <w:left w:val="nil"/>
              <w:bottom w:val="single" w:color="auto" w:sz="8" w:space="0"/>
              <w:right w:val="single" w:color="auto" w:sz="8" w:space="0"/>
            </w:tcBorders>
            <w:vAlign w:val="center"/>
          </w:tcPr>
          <w:p>
            <w:pPr>
              <w:widowControl/>
              <w:spacing w:line="240" w:lineRule="atLeast"/>
              <w:jc w:val="left"/>
              <w:rPr>
                <w:rFonts w:ascii="宋体" w:hAnsi="宋体" w:eastAsia="宋体" w:cs="宋体"/>
                <w:kern w:val="0"/>
                <w:sz w:val="24"/>
                <w:szCs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hint="eastAsia" w:ascii="仿宋_GB2312" w:hAnsi="宋体" w:eastAsia="仿宋_GB2312" w:cs="宋体"/>
                <w:color w:val="000000"/>
                <w:kern w:val="0"/>
                <w:sz w:val="24"/>
                <w:szCs w:val="24"/>
              </w:rPr>
              <w:t>结果维持</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hint="eastAsia" w:ascii="仿宋_GB2312" w:hAnsi="宋体" w:eastAsia="仿宋_GB2312" w:cs="宋体"/>
                <w:color w:val="000000"/>
                <w:kern w:val="0"/>
                <w:sz w:val="24"/>
                <w:szCs w:val="24"/>
              </w:rPr>
              <w:t>结果纠正</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hint="eastAsia" w:ascii="仿宋_GB2312" w:hAnsi="宋体" w:eastAsia="仿宋_GB2312" w:cs="宋体"/>
                <w:color w:val="000000"/>
                <w:kern w:val="0"/>
                <w:sz w:val="24"/>
                <w:szCs w:val="24"/>
              </w:rPr>
              <w:t>其他结果</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hint="eastAsia" w:ascii="仿宋_GB2312" w:hAnsi="宋体" w:eastAsia="仿宋_GB2312" w:cs="宋体"/>
                <w:color w:val="000000"/>
                <w:kern w:val="0"/>
                <w:sz w:val="24"/>
                <w:szCs w:val="24"/>
              </w:rPr>
              <w:t>尚未审结</w:t>
            </w:r>
          </w:p>
        </w:tc>
        <w:tc>
          <w:tcPr>
            <w:tcW w:w="5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hint="eastAsia" w:ascii="仿宋_GB2312" w:hAnsi="宋体" w:eastAsia="仿宋_GB2312" w:cs="宋体"/>
                <w:color w:val="000000"/>
                <w:kern w:val="0"/>
                <w:sz w:val="24"/>
                <w:szCs w:val="24"/>
              </w:rPr>
              <w:t>总计</w:t>
            </w:r>
          </w:p>
        </w:tc>
        <w:tc>
          <w:tcPr>
            <w:tcW w:w="8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hint="eastAsia" w:ascii="仿宋_GB2312" w:hAnsi="宋体" w:eastAsia="仿宋_GB2312" w:cs="宋体"/>
                <w:color w:val="000000"/>
                <w:kern w:val="0"/>
                <w:sz w:val="24"/>
                <w:szCs w:val="24"/>
              </w:rPr>
              <w:t>结果维持</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hint="eastAsia" w:ascii="仿宋_GB2312" w:hAnsi="宋体" w:eastAsia="仿宋_GB2312" w:cs="宋体"/>
                <w:color w:val="000000"/>
                <w:kern w:val="0"/>
                <w:sz w:val="24"/>
                <w:szCs w:val="24"/>
              </w:rPr>
              <w:t>结果纠正</w:t>
            </w:r>
          </w:p>
        </w:tc>
        <w:tc>
          <w:tcPr>
            <w:tcW w:w="72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hint="eastAsia" w:ascii="仿宋_GB2312" w:hAnsi="宋体" w:eastAsia="仿宋_GB2312" w:cs="宋体"/>
                <w:color w:val="000000"/>
                <w:kern w:val="0"/>
                <w:sz w:val="24"/>
                <w:szCs w:val="24"/>
              </w:rPr>
              <w:t>其他结果</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hint="eastAsia" w:ascii="仿宋_GB2312" w:hAnsi="宋体" w:eastAsia="仿宋_GB2312" w:cs="宋体"/>
                <w:color w:val="000000"/>
                <w:kern w:val="0"/>
                <w:sz w:val="24"/>
                <w:szCs w:val="24"/>
              </w:rPr>
              <w:t>尚未审结</w:t>
            </w:r>
          </w:p>
        </w:tc>
        <w:tc>
          <w:tcPr>
            <w:tcW w:w="46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hint="eastAsia" w:ascii="仿宋_GB2312" w:hAnsi="宋体" w:eastAsia="仿宋_GB2312" w:cs="宋体"/>
                <w:color w:val="000000"/>
                <w:kern w:val="0"/>
                <w:sz w:val="24"/>
                <w:szCs w:val="24"/>
              </w:rPr>
              <w:t>总计</w:t>
            </w:r>
          </w:p>
        </w:tc>
      </w:tr>
      <w:tr>
        <w:tblPrEx>
          <w:tblCellMar>
            <w:top w:w="0" w:type="dxa"/>
            <w:left w:w="0" w:type="dxa"/>
            <w:bottom w:w="0" w:type="dxa"/>
            <w:right w:w="0" w:type="dxa"/>
          </w:tblCellMar>
        </w:tblPrEx>
        <w:trPr>
          <w:trHeight w:val="575" w:hRule="atLeast"/>
          <w:jc w:val="center"/>
        </w:trPr>
        <w:tc>
          <w:tcPr>
            <w:tcW w:w="7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0</w:t>
            </w:r>
          </w:p>
        </w:tc>
        <w:tc>
          <w:tcPr>
            <w:tcW w:w="7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w:t>
            </w:r>
          </w:p>
        </w:tc>
        <w:tc>
          <w:tcPr>
            <w:tcW w:w="7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w:t>
            </w:r>
          </w:p>
        </w:tc>
        <w:tc>
          <w:tcPr>
            <w:tcW w:w="52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w:t>
            </w:r>
          </w:p>
        </w:tc>
        <w:tc>
          <w:tcPr>
            <w:tcW w:w="5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w:t>
            </w:r>
          </w:p>
        </w:tc>
        <w:tc>
          <w:tcPr>
            <w:tcW w:w="8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0</w:t>
            </w:r>
          </w:p>
        </w:tc>
        <w:tc>
          <w:tcPr>
            <w:tcW w:w="72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0</w:t>
            </w:r>
          </w:p>
        </w:tc>
        <w:tc>
          <w:tcPr>
            <w:tcW w:w="46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r>
    </w:tbl>
    <w:p>
      <w:pPr>
        <w:rPr>
          <w:rFonts w:ascii="黑体" w:hAnsi="宋体" w:eastAsia="黑体" w:cs="黑体"/>
          <w:color w:val="333333"/>
          <w:sz w:val="32"/>
          <w:szCs w:val="32"/>
          <w:shd w:val="clear" w:color="auto" w:fill="FFFFFF"/>
        </w:rPr>
      </w:pPr>
    </w:p>
    <w:p>
      <w:pPr>
        <w:rPr>
          <w:rFonts w:ascii="仿宋_GB2312" w:hAnsi="仿宋_GB2312" w:eastAsia="仿宋_GB2312" w:cs="仿宋_GB2312"/>
          <w:color w:val="333333"/>
          <w:sz w:val="32"/>
          <w:szCs w:val="32"/>
          <w:shd w:val="clear" w:color="auto" w:fill="FFFFFF"/>
        </w:rPr>
      </w:pPr>
      <w:r>
        <w:rPr>
          <w:rFonts w:hint="eastAsia" w:ascii="黑体" w:hAnsi="宋体" w:eastAsia="黑体" w:cs="黑体"/>
          <w:color w:val="333333"/>
          <w:sz w:val="32"/>
          <w:szCs w:val="32"/>
          <w:shd w:val="clear" w:color="auto" w:fill="FFFFFF"/>
        </w:rPr>
        <w:t>五、</w:t>
      </w:r>
      <w:r>
        <w:rPr>
          <w:rFonts w:ascii="黑体" w:hAnsi="宋体" w:eastAsia="黑体" w:cs="黑体"/>
          <w:color w:val="333333"/>
          <w:sz w:val="32"/>
          <w:szCs w:val="32"/>
          <w:shd w:val="clear" w:color="auto" w:fill="FFFFFF"/>
        </w:rPr>
        <w:t>存在的主要问题及改进情况</w:t>
      </w:r>
    </w:p>
    <w:p>
      <w:pPr>
        <w:ind w:firstLine="640" w:firstLineChars="200"/>
        <w:rPr>
          <w:rFonts w:ascii="仿宋_GB2312" w:hAnsi="仿宋_GB2312" w:eastAsia="仿宋_GB2312" w:cs="仿宋_GB2312"/>
          <w:color w:val="333333"/>
          <w:sz w:val="32"/>
          <w:szCs w:val="32"/>
          <w:shd w:val="clear" w:color="auto" w:fill="FFFFFF"/>
        </w:rPr>
      </w:pPr>
      <w:r>
        <w:rPr>
          <w:rFonts w:hint="eastAsia" w:ascii="楷体" w:hAnsi="楷体" w:eastAsia="楷体" w:cs="楷体"/>
          <w:color w:val="333333"/>
          <w:sz w:val="32"/>
          <w:szCs w:val="32"/>
          <w:shd w:val="clear" w:color="auto" w:fill="FFFFFF"/>
        </w:rPr>
        <w:t>（一）存在问题。</w:t>
      </w:r>
      <w:r>
        <w:rPr>
          <w:rFonts w:hint="eastAsia" w:ascii="仿宋_GB2312" w:hAnsi="仿宋_GB2312" w:eastAsia="仿宋_GB2312" w:cs="仿宋_GB2312"/>
          <w:color w:val="333333"/>
          <w:sz w:val="32"/>
          <w:szCs w:val="32"/>
          <w:shd w:val="clear" w:color="auto" w:fill="FFFFFF"/>
        </w:rPr>
        <w:t>一是在行政执法和其他管理服务信息方面，部分行政执法事项缺少办理流程。二是政策解读方面需丰富解读内容、创新解读形式、提高解读质量。</w:t>
      </w:r>
    </w:p>
    <w:p>
      <w:pPr>
        <w:ind w:firstLine="640" w:firstLineChars="200"/>
        <w:rPr>
          <w:rFonts w:ascii="仿宋_GB2312" w:hAnsi="仿宋_GB2312" w:eastAsia="仿宋_GB2312" w:cs="仿宋_GB2312"/>
          <w:color w:val="333333"/>
          <w:sz w:val="32"/>
          <w:szCs w:val="32"/>
          <w:shd w:val="clear" w:color="auto" w:fill="FFFFFF"/>
        </w:rPr>
      </w:pPr>
      <w:r>
        <w:rPr>
          <w:rFonts w:hint="eastAsia" w:ascii="楷体" w:hAnsi="楷体" w:eastAsia="楷体" w:cs="楷体"/>
          <w:color w:val="333333"/>
          <w:sz w:val="32"/>
          <w:szCs w:val="32"/>
          <w:shd w:val="clear" w:color="auto" w:fill="FFFFFF"/>
        </w:rPr>
        <w:t>（二）</w:t>
      </w:r>
      <w:r>
        <w:rPr>
          <w:rFonts w:hint="eastAsia" w:ascii="楷体" w:hAnsi="楷体" w:eastAsia="楷体" w:cs="楷体"/>
          <w:color w:val="000000"/>
          <w:kern w:val="0"/>
          <w:sz w:val="32"/>
          <w:szCs w:val="32"/>
        </w:rPr>
        <w:t>改进措施。</w:t>
      </w:r>
      <w:r>
        <w:rPr>
          <w:rFonts w:hint="eastAsia" w:ascii="仿宋_GB2312" w:hAnsi="仿宋_GB2312" w:eastAsia="仿宋_GB2312" w:cs="仿宋_GB2312"/>
          <w:color w:val="000000"/>
          <w:kern w:val="0"/>
          <w:sz w:val="32"/>
          <w:szCs w:val="32"/>
        </w:rPr>
        <w:t>一是</w:t>
      </w:r>
      <w:r>
        <w:rPr>
          <w:rFonts w:hint="eastAsia" w:ascii="仿宋_GB2312" w:hAnsi="仿宋_GB2312" w:eastAsia="仿宋_GB2312" w:cs="仿宋_GB2312"/>
          <w:color w:val="333333"/>
          <w:sz w:val="32"/>
          <w:szCs w:val="32"/>
          <w:shd w:val="clear" w:color="auto" w:fill="FFFFFF"/>
        </w:rPr>
        <w:t>进一步明确市公安局政务公开各成员单位任务分工，压实工作责任，督促工作落实，确保“应公开，尽公开”。二是严格落实政府信息公开动态调整机制，根据实际工作及时调整政府信息公开基本目录，确保不迟发不漏发。三是加强政务公开工作培训，进一步增强政务公开工作人员的法律知识和业务水平，提升各成员单位对政务公开工作的重视程度。</w:t>
      </w:r>
    </w:p>
    <w:p>
      <w:pPr>
        <w:widowControl/>
        <w:shd w:val="clear" w:color="auto" w:fill="FFFFFF"/>
        <w:spacing w:line="560" w:lineRule="exact"/>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六、其他需要报告的事项</w:t>
      </w:r>
    </w:p>
    <w:p>
      <w:pPr>
        <w:widowControl/>
        <w:shd w:val="clear" w:color="auto" w:fill="FFFFFF"/>
        <w:spacing w:line="56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（一）本年度淄博市公安局共收到政府信息公开申请47件，不存在收费情况。</w:t>
      </w:r>
    </w:p>
    <w:p>
      <w:pPr>
        <w:widowControl/>
        <w:shd w:val="clear" w:color="auto" w:fill="FFFFFF"/>
        <w:wordWrap w:val="0"/>
        <w:spacing w:line="560" w:lineRule="exact"/>
        <w:ind w:firstLine="640" w:firstLineChars="200"/>
        <w:jc w:val="left"/>
        <w:rPr>
          <w:rFonts w:ascii="仿宋_GB2312" w:eastAsia="仿宋_GB2312"/>
          <w:b/>
          <w:bCs/>
          <w:color w:val="FF0000"/>
          <w:sz w:val="32"/>
          <w:szCs w:val="32"/>
        </w:rPr>
      </w:pPr>
      <w:r>
        <w:rPr>
          <w:rFonts w:hint="eastAsia" w:ascii="仿宋_GB2312" w:eastAsia="仿宋_GB2312"/>
          <w:color w:val="000000"/>
          <w:sz w:val="32"/>
          <w:szCs w:val="32"/>
        </w:rPr>
        <w:t>（二）按时办理人大、政协建议提案。2023年，淄博市公安局办理人大建议10件，政协提案27件；</w:t>
      </w:r>
      <w:r>
        <w:rPr>
          <w:rFonts w:ascii="仿宋_GB2312" w:hAnsi="宋体" w:eastAsia="仿宋_GB2312" w:cs="仿宋_GB2312"/>
          <w:color w:val="000000"/>
          <w:sz w:val="32"/>
          <w:szCs w:val="32"/>
          <w:shd w:val="clear" w:color="auto" w:fill="FFFFFF"/>
        </w:rPr>
        <w:t>根据保密原则，主动公开人大建议</w:t>
      </w:r>
      <w:r>
        <w:rPr>
          <w:rFonts w:hint="eastAsia" w:ascii="仿宋_GB2312" w:hAnsi="宋体" w:eastAsia="仿宋_GB2312" w:cs="仿宋_GB2312"/>
          <w:color w:val="000000"/>
          <w:sz w:val="32"/>
          <w:szCs w:val="32"/>
          <w:shd w:val="clear" w:color="auto" w:fill="FFFFFF"/>
        </w:rPr>
        <w:t>8</w:t>
      </w:r>
      <w:r>
        <w:rPr>
          <w:rFonts w:ascii="仿宋_GB2312" w:hAnsi="宋体" w:eastAsia="仿宋_GB2312" w:cs="仿宋_GB2312"/>
          <w:color w:val="000000"/>
          <w:sz w:val="32"/>
          <w:szCs w:val="32"/>
          <w:shd w:val="clear" w:color="auto" w:fill="FFFFFF"/>
        </w:rPr>
        <w:t>件，政协提案</w:t>
      </w:r>
      <w:r>
        <w:rPr>
          <w:rFonts w:hint="eastAsia" w:ascii="仿宋_GB2312" w:hAnsi="宋体" w:eastAsia="仿宋_GB2312" w:cs="仿宋_GB2312"/>
          <w:color w:val="000000"/>
          <w:sz w:val="32"/>
          <w:szCs w:val="32"/>
          <w:shd w:val="clear" w:color="auto" w:fill="FFFFFF"/>
        </w:rPr>
        <w:t>22</w:t>
      </w:r>
      <w:r>
        <w:rPr>
          <w:rFonts w:ascii="仿宋_GB2312" w:hAnsi="宋体" w:eastAsia="仿宋_GB2312" w:cs="仿宋_GB2312"/>
          <w:color w:val="000000"/>
          <w:sz w:val="32"/>
          <w:szCs w:val="32"/>
          <w:shd w:val="clear" w:color="auto" w:fill="FFFFFF"/>
        </w:rPr>
        <w:t>件，</w:t>
      </w:r>
      <w:r>
        <w:rPr>
          <w:rFonts w:hint="eastAsia" w:ascii="仿宋_GB2312" w:eastAsia="仿宋_GB2312"/>
          <w:color w:val="000000"/>
          <w:sz w:val="32"/>
          <w:szCs w:val="32"/>
        </w:rPr>
        <w:t>并对建议提案总体情况进行总结，一并公开到部门网站。</w:t>
      </w:r>
    </w:p>
    <w:p>
      <w:pPr>
        <w:widowControl/>
        <w:shd w:val="clear" w:color="auto" w:fill="FFFFFF"/>
        <w:spacing w:line="560" w:lineRule="exact"/>
        <w:ind w:firstLine="640" w:firstLineChars="200"/>
        <w:jc w:val="left"/>
        <w:rPr>
          <w:rFonts w:hint="eastAsia" w:ascii="仿宋_GB2312" w:eastAsia="仿宋_GB2312"/>
          <w:color w:val="000000"/>
          <w:sz w:val="32"/>
          <w:szCs w:val="32"/>
          <w:highlight w:val="none"/>
        </w:rPr>
      </w:pPr>
      <w:r>
        <w:rPr>
          <w:rFonts w:hint="eastAsia" w:ascii="仿宋_GB2312" w:eastAsia="仿宋_GB2312"/>
          <w:color w:val="000000"/>
          <w:sz w:val="32"/>
          <w:szCs w:val="32"/>
        </w:rPr>
        <w:t>（三）</w:t>
      </w:r>
      <w:r>
        <w:rPr>
          <w:rFonts w:hint="eastAsia" w:ascii="仿宋_GB2312" w:eastAsia="仿宋_GB2312"/>
          <w:color w:val="000000"/>
          <w:sz w:val="32"/>
          <w:szCs w:val="32"/>
          <w:highlight w:val="none"/>
        </w:rPr>
        <w:t>2023年，市公安局在淄博微警务</w:t>
      </w:r>
      <w:r>
        <w:rPr>
          <w:rFonts w:hint="eastAsia" w:ascii="仿宋_GB2312" w:eastAsia="仿宋_GB2312"/>
          <w:color w:val="000000"/>
          <w:sz w:val="32"/>
          <w:szCs w:val="32"/>
          <w:highlight w:val="none"/>
          <w:lang w:eastAsia="zh-CN"/>
        </w:rPr>
        <w:t>平台</w:t>
      </w:r>
      <w:r>
        <w:rPr>
          <w:rFonts w:hint="eastAsia" w:ascii="仿宋_GB2312" w:eastAsia="仿宋_GB2312"/>
          <w:color w:val="000000"/>
          <w:sz w:val="32"/>
          <w:szCs w:val="32"/>
          <w:highlight w:val="none"/>
        </w:rPr>
        <w:t>开设“惠企安商服务专区”，全面开展惠企政策事项梳理，将全市公安机关的惠企政策打包汇聚，打造最集中、最全面、最准确的发布平台，做到让企业应知尽知、应享尽享。发挥公安职能优势，立足打防监管工作，定期发布公安机关侦破的涉企大案要案，震慑违法犯罪人员，保护企业合法权益。上线“诉求专区”，安排专人受理企业相关咨询、投诉、举报，开展惠企政策线上答疑、业务办理线上指导，确保有效诉求跟进处理服务，让惠企政策落到实处。同时，定期梳理企业诉求，及时提炼总结共性问题，向相关警种进行反馈，为政策措施的制定提供科学决策参考。</w:t>
      </w:r>
    </w:p>
    <w:p>
      <w:pPr>
        <w:widowControl/>
        <w:shd w:val="clear" w:color="auto" w:fill="FFFFFF"/>
        <w:spacing w:line="560" w:lineRule="exact"/>
        <w:ind w:firstLine="640" w:firstLineChars="200"/>
        <w:jc w:val="left"/>
        <w:rPr>
          <w:rFonts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2023年，市公安局常态化</w:t>
      </w:r>
      <w:r>
        <w:rPr>
          <w:rFonts w:hint="eastAsia" w:ascii="仿宋_GB2312" w:eastAsia="仿宋_GB2312"/>
          <w:color w:val="000000"/>
          <w:sz w:val="32"/>
          <w:szCs w:val="32"/>
          <w:highlight w:val="none"/>
        </w:rPr>
        <w:t>开展平安宣讲进企业活动，组建巡回宣讲团，定期走进厂矿企业，围绕电信诈骗、金融诈骗、非法集资、非法经营、职务侵占等涉企犯罪防范，以及治安防控、交通安全、网络安全等方面内容开展主题宣讲，推动企业提升安全防范意识，有效保障了群众的参与权和监督权，全面提升了公安工作透明度。</w:t>
      </w:r>
    </w:p>
    <w:p>
      <w:pPr>
        <w:widowControl/>
        <w:shd w:val="clear" w:color="auto" w:fill="FFFFFF"/>
        <w:spacing w:line="56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（四）淄博市公安局对《淄博市2023年政务公开常态化工作任务清单》进行了任务分解，扎实落实到局直各单位，本年度工作任务已按照要求全部完成。</w:t>
      </w:r>
    </w:p>
    <w:p>
      <w:pPr>
        <w:widowControl/>
        <w:shd w:val="clear" w:color="auto" w:fill="FFFFFF"/>
        <w:spacing w:line="56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（五）本报告为淄博市公安局统计数据，不含淄博市各区县数据。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简体">
    <w:panose1 w:val="02000000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0475DE"/>
    <w:rsid w:val="000D3375"/>
    <w:rsid w:val="00174DD5"/>
    <w:rsid w:val="001C2F2A"/>
    <w:rsid w:val="00294E7E"/>
    <w:rsid w:val="00296D18"/>
    <w:rsid w:val="002D0DE4"/>
    <w:rsid w:val="00306D2F"/>
    <w:rsid w:val="00355D3F"/>
    <w:rsid w:val="00365386"/>
    <w:rsid w:val="003D4D9E"/>
    <w:rsid w:val="00584C0B"/>
    <w:rsid w:val="00630437"/>
    <w:rsid w:val="00720360"/>
    <w:rsid w:val="007442BE"/>
    <w:rsid w:val="007E6B8E"/>
    <w:rsid w:val="00826CC1"/>
    <w:rsid w:val="00854ED5"/>
    <w:rsid w:val="00865A97"/>
    <w:rsid w:val="008A261F"/>
    <w:rsid w:val="008A75B4"/>
    <w:rsid w:val="009D5656"/>
    <w:rsid w:val="00AD0DE0"/>
    <w:rsid w:val="00B97F0A"/>
    <w:rsid w:val="00CE1E81"/>
    <w:rsid w:val="00D678AC"/>
    <w:rsid w:val="00DF20B0"/>
    <w:rsid w:val="00E008F0"/>
    <w:rsid w:val="00E05621"/>
    <w:rsid w:val="01A06BE3"/>
    <w:rsid w:val="01A71FB0"/>
    <w:rsid w:val="069B391C"/>
    <w:rsid w:val="09530220"/>
    <w:rsid w:val="10837AB7"/>
    <w:rsid w:val="132A441B"/>
    <w:rsid w:val="199C238A"/>
    <w:rsid w:val="1A1B1E4E"/>
    <w:rsid w:val="1A736F06"/>
    <w:rsid w:val="20B852CF"/>
    <w:rsid w:val="22416D2D"/>
    <w:rsid w:val="228638AA"/>
    <w:rsid w:val="2A8F729D"/>
    <w:rsid w:val="2AEC42A5"/>
    <w:rsid w:val="2DB50BB0"/>
    <w:rsid w:val="34246647"/>
    <w:rsid w:val="35087850"/>
    <w:rsid w:val="388865AD"/>
    <w:rsid w:val="3C06681A"/>
    <w:rsid w:val="3E116313"/>
    <w:rsid w:val="3E3D471B"/>
    <w:rsid w:val="3F0D681F"/>
    <w:rsid w:val="3FA80E84"/>
    <w:rsid w:val="404F7CEC"/>
    <w:rsid w:val="443572E4"/>
    <w:rsid w:val="449A5208"/>
    <w:rsid w:val="45317951"/>
    <w:rsid w:val="45BC765C"/>
    <w:rsid w:val="480475DE"/>
    <w:rsid w:val="49565799"/>
    <w:rsid w:val="4BB135C1"/>
    <w:rsid w:val="520B2EB4"/>
    <w:rsid w:val="525B6269"/>
    <w:rsid w:val="562A7DD7"/>
    <w:rsid w:val="564163E1"/>
    <w:rsid w:val="5B624BE1"/>
    <w:rsid w:val="5FE02B99"/>
    <w:rsid w:val="6A7C4865"/>
    <w:rsid w:val="6E031A51"/>
    <w:rsid w:val="6E1D4C77"/>
    <w:rsid w:val="6E326FB4"/>
    <w:rsid w:val="6EAE68E8"/>
    <w:rsid w:val="6EFB4262"/>
    <w:rsid w:val="70BE6CE7"/>
    <w:rsid w:val="7D0F7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0">
    <w:name w:val="页眉 Char"/>
    <w:basedOn w:val="7"/>
    <w:link w:val="4"/>
    <w:uiPriority w:val="0"/>
    <w:rPr>
      <w:rFonts w:asciiTheme="minorHAnsi" w:hAnsiTheme="minorHAnsi" w:eastAsiaTheme="minorEastAsia" w:cstheme="minorBidi"/>
      <w:kern w:val="2"/>
      <w:sz w:val="18"/>
      <w:szCs w:val="18"/>
    </w:rPr>
  </w:style>
  <w:style w:type="character" w:customStyle="1" w:styleId="11">
    <w:name w:val="页脚 Char"/>
    <w:basedOn w:val="7"/>
    <w:link w:val="3"/>
    <w:uiPriority w:val="0"/>
    <w:rPr>
      <w:rFonts w:asciiTheme="minorHAnsi" w:hAnsiTheme="minorHAnsi" w:eastAsiaTheme="minorEastAsia" w:cstheme="minorBidi"/>
      <w:kern w:val="2"/>
      <w:sz w:val="18"/>
      <w:szCs w:val="18"/>
    </w:rPr>
  </w:style>
  <w:style w:type="character" w:customStyle="1" w:styleId="12">
    <w:name w:val="标题 2 Char"/>
    <w:basedOn w:val="7"/>
    <w:link w:val="2"/>
    <w:semiHidden/>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509</Words>
  <Characters>2906</Characters>
  <Lines>24</Lines>
  <Paragraphs>6</Paragraphs>
  <TotalTime>15</TotalTime>
  <ScaleCrop>false</ScaleCrop>
  <LinksUpToDate>false</LinksUpToDate>
  <CharactersWithSpaces>3409</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2024-01-03T00:55:00Z</dcterms:created>
  <dc:creator>hp</dc:creator>
  <cp:lastModifiedBy>hp</cp:lastModifiedBy>
  <dcterms:modified xsi:type="dcterms:W3CDTF">2024-01-24T08:25:27Z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